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1B011" w14:textId="71FF548D" w:rsidR="00DC5242" w:rsidRPr="00081048" w:rsidRDefault="00DE6F9E" w:rsidP="00DC5242">
      <w:pPr>
        <w:jc w:val="center"/>
        <w:rPr>
          <w:rFonts w:ascii="Times New Roman" w:hAnsi="Times New Roman" w:cs="Times New Roman"/>
          <w:b/>
          <w:bCs/>
          <w:sz w:val="24"/>
          <w:szCs w:val="24"/>
        </w:rPr>
      </w:pPr>
      <w:r w:rsidRPr="00081048">
        <w:rPr>
          <w:rFonts w:ascii="Times New Roman" w:hAnsi="Times New Roman" w:cs="Times New Roman"/>
          <w:b/>
          <w:bCs/>
          <w:i/>
          <w:iCs/>
          <w:sz w:val="24"/>
          <w:szCs w:val="24"/>
        </w:rPr>
        <w:t>Cuando publicar no basta: capacitación normativa-técnica y fallas de información en SECOP</w:t>
      </w:r>
    </w:p>
    <w:p w14:paraId="3C8FEC49" w14:textId="6B5B8F2B" w:rsidR="00DC5242" w:rsidRPr="00081048" w:rsidRDefault="00DC5242" w:rsidP="00DC5242">
      <w:pPr>
        <w:tabs>
          <w:tab w:val="left" w:pos="1130"/>
        </w:tabs>
        <w:jc w:val="center"/>
        <w:rPr>
          <w:rFonts w:ascii="Times New Roman" w:hAnsi="Times New Roman" w:cs="Times New Roman"/>
          <w:b/>
          <w:bCs/>
          <w:sz w:val="24"/>
          <w:szCs w:val="24"/>
          <w:lang w:val="en-US"/>
        </w:rPr>
      </w:pPr>
      <w:r w:rsidRPr="00081048">
        <w:rPr>
          <w:rFonts w:ascii="Times New Roman" w:hAnsi="Times New Roman" w:cs="Times New Roman"/>
          <w:b/>
          <w:bCs/>
          <w:sz w:val="24"/>
          <w:szCs w:val="24"/>
          <w:lang w:val="en-US"/>
        </w:rPr>
        <w:t>When publishing is not enough: regulatory and technical training and information failures in SECOP</w:t>
      </w:r>
    </w:p>
    <w:p w14:paraId="32905ED5" w14:textId="0645CE31" w:rsidR="00DC5242" w:rsidRPr="00081048" w:rsidRDefault="00DC5242" w:rsidP="00DC5242">
      <w:pPr>
        <w:tabs>
          <w:tab w:val="left" w:pos="1130"/>
        </w:tabs>
        <w:jc w:val="right"/>
        <w:rPr>
          <w:rFonts w:ascii="Times New Roman" w:hAnsi="Times New Roman" w:cs="Times New Roman"/>
          <w:b/>
          <w:bCs/>
          <w:i/>
          <w:iCs/>
          <w:sz w:val="24"/>
          <w:szCs w:val="24"/>
        </w:rPr>
      </w:pPr>
      <w:r w:rsidRPr="00081048">
        <w:rPr>
          <w:rFonts w:ascii="Times New Roman" w:hAnsi="Times New Roman" w:cs="Times New Roman"/>
          <w:b/>
          <w:bCs/>
          <w:i/>
          <w:iCs/>
          <w:sz w:val="24"/>
          <w:szCs w:val="24"/>
        </w:rPr>
        <w:t xml:space="preserve">Autor: </w:t>
      </w:r>
      <w:r w:rsidRPr="00081048">
        <w:rPr>
          <w:rFonts w:ascii="Times New Roman" w:hAnsi="Times New Roman" w:cs="Times New Roman"/>
          <w:i/>
          <w:iCs/>
          <w:sz w:val="24"/>
          <w:szCs w:val="24"/>
        </w:rPr>
        <w:t>YULIETH PAOLA SALCEDO ORTEGA</w:t>
      </w:r>
    </w:p>
    <w:p w14:paraId="3F03E2C7" w14:textId="131FAFE2" w:rsidR="00B72A02" w:rsidRPr="00081048" w:rsidRDefault="00B72A02" w:rsidP="00B72A02">
      <w:pPr>
        <w:rPr>
          <w:rFonts w:ascii="Times New Roman" w:hAnsi="Times New Roman" w:cs="Times New Roman"/>
          <w:sz w:val="24"/>
          <w:szCs w:val="24"/>
        </w:rPr>
      </w:pPr>
    </w:p>
    <w:p w14:paraId="41AB1E6F" w14:textId="5CBB5E0A" w:rsidR="00B72A02" w:rsidRPr="00081048" w:rsidRDefault="00B72A02" w:rsidP="00B72A02">
      <w:pPr>
        <w:rPr>
          <w:rFonts w:ascii="Times New Roman" w:hAnsi="Times New Roman" w:cs="Times New Roman"/>
          <w:b/>
          <w:bCs/>
          <w:i/>
          <w:iCs/>
          <w:sz w:val="24"/>
          <w:szCs w:val="24"/>
        </w:rPr>
      </w:pPr>
    </w:p>
    <w:p w14:paraId="1B139E0C" w14:textId="571FB3FA" w:rsidR="00B72A02" w:rsidRPr="00727A7F" w:rsidRDefault="00B72A02" w:rsidP="00081048">
      <w:pPr>
        <w:spacing w:line="360" w:lineRule="auto"/>
        <w:jc w:val="both"/>
        <w:rPr>
          <w:rFonts w:ascii="Times New Roman" w:hAnsi="Times New Roman" w:cs="Times New Roman"/>
          <w:b/>
          <w:bCs/>
          <w:i/>
          <w:iCs/>
          <w:sz w:val="24"/>
          <w:szCs w:val="24"/>
        </w:rPr>
      </w:pPr>
      <w:r w:rsidRPr="00727A7F">
        <w:rPr>
          <w:rFonts w:ascii="Times New Roman" w:hAnsi="Times New Roman" w:cs="Times New Roman"/>
          <w:b/>
          <w:bCs/>
          <w:i/>
          <w:iCs/>
          <w:sz w:val="24"/>
          <w:szCs w:val="24"/>
        </w:rPr>
        <w:t>Resumen.</w:t>
      </w:r>
    </w:p>
    <w:p w14:paraId="761B8980" w14:textId="77777777" w:rsidR="00B72A02" w:rsidRPr="00081048" w:rsidRDefault="00B72A02"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 xml:space="preserve">La contratación estatal en Colombia se rige por principios orientadores que buscan asegurar la legitimidad de la gestión pública y la confianza ciudadana. Entre ellos, los principios de transparencia y publicidad adquieren especial relevancia en la actualidad, dado que el Sistema Electrónico para la Contratación Pública (SECOP) se ha consolidado como el principal canal de divulgación de información contractual y trazabilidad del proceso. No obstante, la experiencia institucional evidencia que la existencia de un sistema electrónico no garantiza por sí misma la transparencia material: la información puede estar publicada sin reunir condiciones mínimas de calidad, integridad y oportunidad que permitan un control real y una comprensión adecuada del proceso contractual. </w:t>
      </w:r>
    </w:p>
    <w:p w14:paraId="604DF5FF" w14:textId="1E3F1BD5" w:rsidR="00B72A02" w:rsidRPr="00081048" w:rsidRDefault="00B72A02"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En este contexto, el artículo analiza en qué medida la insuficiente capacitación normativa y técnica de los funcionarios responsables de publicar en SECOP incide en la calidad, integridad y oportunidad de la publicación de contratos estatales, afectando la efectividad de los principios de transparencia y publicidad en la contratación estatal.</w:t>
      </w:r>
    </w:p>
    <w:p w14:paraId="06BDAB86" w14:textId="77777777" w:rsidR="00B72A02" w:rsidRPr="00081048" w:rsidRDefault="00B72A02"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Metodológicamente, se adopta un enfoque cualitativo con diseño documental-jurídico. A partir de la revisión sistemática del marco normativo de contratación estatal y transparencia, así como de lineamientos oficiales, guías, manuales e instructivos sobre SECOP, se construyen criterios documentales mínimos para evaluar la publicación contractual. Dichos criterios se organizan en tres dimensiones: (i) calidad, entendida como coherencia y suficiencia informativa del registro y sus soportes; (</w:t>
      </w:r>
      <w:proofErr w:type="spellStart"/>
      <w:r w:rsidRPr="00081048">
        <w:rPr>
          <w:rFonts w:ascii="Times New Roman" w:hAnsi="Times New Roman" w:cs="Times New Roman"/>
          <w:sz w:val="24"/>
          <w:szCs w:val="24"/>
        </w:rPr>
        <w:t>ii</w:t>
      </w:r>
      <w:proofErr w:type="spellEnd"/>
      <w:r w:rsidRPr="00081048">
        <w:rPr>
          <w:rFonts w:ascii="Times New Roman" w:hAnsi="Times New Roman" w:cs="Times New Roman"/>
          <w:sz w:val="24"/>
          <w:szCs w:val="24"/>
        </w:rPr>
        <w:t>) integridad, referida a la completitud del conjunto documental exigible o esperable para garantizar trazabilidad; y (</w:t>
      </w:r>
      <w:proofErr w:type="spellStart"/>
      <w:r w:rsidRPr="00081048">
        <w:rPr>
          <w:rFonts w:ascii="Times New Roman" w:hAnsi="Times New Roman" w:cs="Times New Roman"/>
          <w:sz w:val="24"/>
          <w:szCs w:val="24"/>
        </w:rPr>
        <w:t>iii</w:t>
      </w:r>
      <w:proofErr w:type="spellEnd"/>
      <w:r w:rsidRPr="00081048">
        <w:rPr>
          <w:rFonts w:ascii="Times New Roman" w:hAnsi="Times New Roman" w:cs="Times New Roman"/>
          <w:sz w:val="24"/>
          <w:szCs w:val="24"/>
        </w:rPr>
        <w:t xml:space="preserve">) oportunidad, asociada a la publicación en los momentos y términos que hacen útil la información para el control. Con base en estos parámetros, el artículo propone una tipología de falencias </w:t>
      </w:r>
      <w:r w:rsidRPr="00081048">
        <w:rPr>
          <w:rFonts w:ascii="Times New Roman" w:hAnsi="Times New Roman" w:cs="Times New Roman"/>
          <w:sz w:val="24"/>
          <w:szCs w:val="24"/>
        </w:rPr>
        <w:lastRenderedPageBreak/>
        <w:t>recurrentes en la publicación contractual, tales como omisiones documentales, inconsistencias entre documentos y registros, clasificación inadecuada de actuaciones, y cargas extemporáneas que debilitan el acceso oportuno a la información.</w:t>
      </w:r>
    </w:p>
    <w:p w14:paraId="704704A5" w14:textId="77777777" w:rsidR="00B72A02" w:rsidRPr="00081048" w:rsidRDefault="00B72A02"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El análisis sostiene que la capacitación constituye una condición de cumplimiento material de la transparencia y la publicidad, en tanto vincula el “deber ser” normativo con la ejecución técnica en la plataforma. La insuficiencia formativa puede manifestarse en dos planos complementarios: (i) brechas normativas, cuando no se comprende con precisión qué debe publicarse, en qué etapa y con qué alcance; y (</w:t>
      </w:r>
      <w:proofErr w:type="spellStart"/>
      <w:r w:rsidRPr="00081048">
        <w:rPr>
          <w:rFonts w:ascii="Times New Roman" w:hAnsi="Times New Roman" w:cs="Times New Roman"/>
          <w:sz w:val="24"/>
          <w:szCs w:val="24"/>
        </w:rPr>
        <w:t>ii</w:t>
      </w:r>
      <w:proofErr w:type="spellEnd"/>
      <w:r w:rsidRPr="00081048">
        <w:rPr>
          <w:rFonts w:ascii="Times New Roman" w:hAnsi="Times New Roman" w:cs="Times New Roman"/>
          <w:sz w:val="24"/>
          <w:szCs w:val="24"/>
        </w:rPr>
        <w:t xml:space="preserve">) brechas técnicas, cuando se desconoce cómo registrar, cargar, actualizar y clasificar adecuadamente la información en SECOP. </w:t>
      </w:r>
    </w:p>
    <w:p w14:paraId="3962EBE3" w14:textId="25029CD3" w:rsidR="00B72A02" w:rsidRPr="00081048" w:rsidRDefault="00B72A02"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La interacción de ambas brechas incrementa el riesgo de publicaciones incompletas o poco útiles, generando una transparencia formal que no se traduce en transparencia verificable.</w:t>
      </w:r>
    </w:p>
    <w:p w14:paraId="20BD6E59" w14:textId="77777777" w:rsidR="00B72A02" w:rsidRPr="00081048" w:rsidRDefault="00B72A02"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 xml:space="preserve">Finalmente, el artículo ofrece lineamientos concretos de mejora orientados a la capacitación y la estandarización, incluyendo módulos formativos breves y listas de verificación por etapas, con el propósito de fortalecer la calidad, integridad y oportunidad de lo publicado. </w:t>
      </w:r>
    </w:p>
    <w:p w14:paraId="76486B36" w14:textId="7DFA546E" w:rsidR="00B72A02" w:rsidRPr="00081048" w:rsidRDefault="00B72A02"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Se concluye que la efectividad de los principios de transparencia y publicidad depende no solo de la regulación y de la tecnología disponible, sino de capacidades institucionales sostenidas que permitan convertir la publicación en SECOP en un mecanismo real de control, rendición de cuentas y confianza pública.</w:t>
      </w:r>
    </w:p>
    <w:p w14:paraId="194F1654" w14:textId="302D2380" w:rsidR="00B72A02" w:rsidRPr="00727A7F" w:rsidRDefault="00B72A02" w:rsidP="00081048">
      <w:pPr>
        <w:spacing w:line="360" w:lineRule="auto"/>
        <w:jc w:val="both"/>
        <w:rPr>
          <w:rFonts w:ascii="Times New Roman" w:hAnsi="Times New Roman" w:cs="Times New Roman"/>
          <w:b/>
          <w:bCs/>
          <w:i/>
          <w:iCs/>
          <w:sz w:val="24"/>
          <w:szCs w:val="24"/>
        </w:rPr>
      </w:pPr>
      <w:r w:rsidRPr="00727A7F">
        <w:rPr>
          <w:rFonts w:ascii="Times New Roman" w:hAnsi="Times New Roman" w:cs="Times New Roman"/>
          <w:b/>
          <w:bCs/>
          <w:i/>
          <w:iCs/>
          <w:sz w:val="24"/>
          <w:szCs w:val="24"/>
        </w:rPr>
        <w:t>Palabras clave.</w:t>
      </w:r>
    </w:p>
    <w:p w14:paraId="0785FB4C" w14:textId="7F9039D6" w:rsidR="00B72A02" w:rsidRPr="00081048" w:rsidRDefault="00B72A02"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SECOP, transparencia, publicidad contractual, capacitación de funcionarios, divulgación de información pública</w:t>
      </w:r>
    </w:p>
    <w:p w14:paraId="5B07B556" w14:textId="51C481FA" w:rsidR="00B72A02" w:rsidRPr="00081048" w:rsidRDefault="00B72A02" w:rsidP="00081048">
      <w:pPr>
        <w:spacing w:line="360" w:lineRule="auto"/>
        <w:jc w:val="both"/>
        <w:rPr>
          <w:rFonts w:ascii="Times New Roman" w:hAnsi="Times New Roman" w:cs="Times New Roman"/>
          <w:sz w:val="24"/>
          <w:szCs w:val="24"/>
        </w:rPr>
      </w:pPr>
    </w:p>
    <w:p w14:paraId="7ABB3693" w14:textId="7B298EAC" w:rsidR="00B72A02" w:rsidRPr="00081048" w:rsidRDefault="00B72A02" w:rsidP="00081048">
      <w:pPr>
        <w:spacing w:line="360" w:lineRule="auto"/>
        <w:jc w:val="both"/>
        <w:rPr>
          <w:rFonts w:ascii="Times New Roman" w:hAnsi="Times New Roman" w:cs="Times New Roman"/>
          <w:sz w:val="24"/>
          <w:szCs w:val="24"/>
        </w:rPr>
      </w:pPr>
    </w:p>
    <w:p w14:paraId="045364A2" w14:textId="0E484FFB" w:rsidR="00B72A02" w:rsidRPr="00081048" w:rsidRDefault="00B72A02" w:rsidP="00081048">
      <w:pPr>
        <w:spacing w:line="360" w:lineRule="auto"/>
        <w:jc w:val="both"/>
        <w:rPr>
          <w:rFonts w:ascii="Times New Roman" w:hAnsi="Times New Roman" w:cs="Times New Roman"/>
          <w:sz w:val="24"/>
          <w:szCs w:val="24"/>
        </w:rPr>
      </w:pPr>
    </w:p>
    <w:p w14:paraId="0730FB59" w14:textId="7D272A6B" w:rsidR="00B72A02" w:rsidRPr="00081048" w:rsidRDefault="00B72A02" w:rsidP="00081048">
      <w:pPr>
        <w:spacing w:line="360" w:lineRule="auto"/>
        <w:jc w:val="both"/>
        <w:rPr>
          <w:rFonts w:ascii="Times New Roman" w:hAnsi="Times New Roman" w:cs="Times New Roman"/>
          <w:sz w:val="24"/>
          <w:szCs w:val="24"/>
        </w:rPr>
      </w:pPr>
    </w:p>
    <w:p w14:paraId="629347B3" w14:textId="47328F8B" w:rsidR="00B72A02" w:rsidRPr="00081048" w:rsidRDefault="00B72A02" w:rsidP="00081048">
      <w:pPr>
        <w:spacing w:line="360" w:lineRule="auto"/>
        <w:jc w:val="both"/>
        <w:rPr>
          <w:rFonts w:ascii="Times New Roman" w:hAnsi="Times New Roman" w:cs="Times New Roman"/>
          <w:sz w:val="24"/>
          <w:szCs w:val="24"/>
        </w:rPr>
      </w:pPr>
    </w:p>
    <w:p w14:paraId="79B9A873" w14:textId="628045A0" w:rsidR="00B72A02" w:rsidRPr="00081048" w:rsidRDefault="00B72A02" w:rsidP="00081048">
      <w:pPr>
        <w:spacing w:line="360" w:lineRule="auto"/>
        <w:jc w:val="both"/>
        <w:rPr>
          <w:rFonts w:ascii="Times New Roman" w:hAnsi="Times New Roman" w:cs="Times New Roman"/>
          <w:sz w:val="24"/>
          <w:szCs w:val="24"/>
        </w:rPr>
      </w:pPr>
    </w:p>
    <w:p w14:paraId="099C8E04" w14:textId="77777777" w:rsidR="00B72A02" w:rsidRPr="00727A7F" w:rsidRDefault="00B72A02" w:rsidP="00081048">
      <w:pPr>
        <w:spacing w:line="360" w:lineRule="auto"/>
        <w:jc w:val="both"/>
        <w:rPr>
          <w:rFonts w:ascii="Times New Roman" w:hAnsi="Times New Roman" w:cs="Times New Roman"/>
          <w:b/>
          <w:bCs/>
          <w:i/>
          <w:iCs/>
          <w:sz w:val="24"/>
          <w:szCs w:val="24"/>
          <w:lang w:val="en-US"/>
        </w:rPr>
      </w:pPr>
      <w:r w:rsidRPr="00727A7F">
        <w:rPr>
          <w:rFonts w:ascii="Times New Roman" w:hAnsi="Times New Roman" w:cs="Times New Roman"/>
          <w:b/>
          <w:bCs/>
          <w:i/>
          <w:iCs/>
          <w:sz w:val="24"/>
          <w:szCs w:val="24"/>
          <w:lang w:val="en-US"/>
        </w:rPr>
        <w:lastRenderedPageBreak/>
        <w:t>Abstract.</w:t>
      </w:r>
    </w:p>
    <w:p w14:paraId="5600DE5B" w14:textId="77777777" w:rsidR="00B72A02" w:rsidRPr="00081048" w:rsidRDefault="00B72A02" w:rsidP="00081048">
      <w:pPr>
        <w:spacing w:line="360" w:lineRule="auto"/>
        <w:jc w:val="both"/>
        <w:rPr>
          <w:rFonts w:ascii="Times New Roman" w:hAnsi="Times New Roman" w:cs="Times New Roman"/>
          <w:sz w:val="24"/>
          <w:szCs w:val="24"/>
          <w:lang w:val="en-US"/>
        </w:rPr>
      </w:pPr>
      <w:r w:rsidRPr="00081048">
        <w:rPr>
          <w:rFonts w:ascii="Times New Roman" w:hAnsi="Times New Roman" w:cs="Times New Roman"/>
          <w:sz w:val="24"/>
          <w:szCs w:val="24"/>
          <w:lang w:val="en-US"/>
        </w:rPr>
        <w:t>Public procurement in Colombia is governed by guiding principles that seek to ensure the legitimacy of public administration and citizen trust. Among these, the principles of transparency and publicity are especially relevant today, given that the Electronic System for Public Procurement (SECOP) has become the main channel for disseminating contractual information and ensuring traceability of the process. However, institutional experience shows that the existence of an electronic system does not, in itself, guarantee substantive transparency: information may be published without meeting the minimum conditions of quality, integrity, and timeliness necessary for effective oversight and a proper understanding of the contractual process.</w:t>
      </w:r>
    </w:p>
    <w:p w14:paraId="32DB3469" w14:textId="77777777" w:rsidR="00B72A02" w:rsidRPr="00081048" w:rsidRDefault="00B72A02" w:rsidP="00081048">
      <w:pPr>
        <w:spacing w:line="360" w:lineRule="auto"/>
        <w:jc w:val="both"/>
        <w:rPr>
          <w:rFonts w:ascii="Times New Roman" w:hAnsi="Times New Roman" w:cs="Times New Roman"/>
          <w:sz w:val="24"/>
          <w:szCs w:val="24"/>
          <w:lang w:val="en-US"/>
        </w:rPr>
      </w:pPr>
      <w:r w:rsidRPr="00081048">
        <w:rPr>
          <w:rFonts w:ascii="Times New Roman" w:hAnsi="Times New Roman" w:cs="Times New Roman"/>
          <w:sz w:val="24"/>
          <w:szCs w:val="24"/>
          <w:lang w:val="en-US"/>
        </w:rPr>
        <w:t>In this context, this article analyzes the extent to which insufficient regulatory and technical training of officials responsible for publishing on SECOP affects the quality, integrity, and timeliness of the publication of public contracts, impacting the effectiveness of the principles of transparency and publicity in public procurement.</w:t>
      </w:r>
    </w:p>
    <w:p w14:paraId="1E767DE2" w14:textId="77777777" w:rsidR="00B72A02" w:rsidRPr="00081048" w:rsidRDefault="00B72A02" w:rsidP="00081048">
      <w:pPr>
        <w:spacing w:line="360" w:lineRule="auto"/>
        <w:jc w:val="both"/>
        <w:rPr>
          <w:rFonts w:ascii="Times New Roman" w:hAnsi="Times New Roman" w:cs="Times New Roman"/>
          <w:sz w:val="24"/>
          <w:szCs w:val="24"/>
          <w:lang w:val="en-US"/>
        </w:rPr>
      </w:pPr>
      <w:r w:rsidRPr="00081048">
        <w:rPr>
          <w:rFonts w:ascii="Times New Roman" w:hAnsi="Times New Roman" w:cs="Times New Roman"/>
          <w:sz w:val="24"/>
          <w:szCs w:val="24"/>
          <w:lang w:val="en-US"/>
        </w:rPr>
        <w:t>Methodologically, a qualitative approach with a legal-documentary design is adopted. Based on a systematic review of the regulatory framework for public procurement and transparency, as well as official guidelines, guides, manuals, and instructions on SECOP (the Colombian Public Procurement System), minimum documentary criteria are established for evaluating contract publication. These criteria are organized into three dimensions: (</w:t>
      </w:r>
      <w:proofErr w:type="spellStart"/>
      <w:r w:rsidRPr="00081048">
        <w:rPr>
          <w:rFonts w:ascii="Times New Roman" w:hAnsi="Times New Roman" w:cs="Times New Roman"/>
          <w:sz w:val="24"/>
          <w:szCs w:val="24"/>
          <w:lang w:val="en-US"/>
        </w:rPr>
        <w:t>i</w:t>
      </w:r>
      <w:proofErr w:type="spellEnd"/>
      <w:r w:rsidRPr="00081048">
        <w:rPr>
          <w:rFonts w:ascii="Times New Roman" w:hAnsi="Times New Roman" w:cs="Times New Roman"/>
          <w:sz w:val="24"/>
          <w:szCs w:val="24"/>
          <w:lang w:val="en-US"/>
        </w:rPr>
        <w:t>) quality, understood as the coherence and sufficiency of the information contained in the record and its supporting documentation; (ii) integrity, referring to the completeness of the required or expected documentation to guarantee traceability; and (iii) timeliness, associated with publication at the appropriate times and under the terms that make the information useful for oversight. Based on these parameters, the article proposes a typology of recurring shortcomings in contract publication, such as documentary omissions, inconsistencies between documents and records, inadequate classification of actions, and untimely submissions that hinder timely access to information.</w:t>
      </w:r>
    </w:p>
    <w:p w14:paraId="42C8037E" w14:textId="77777777" w:rsidR="00B72A02" w:rsidRPr="00081048" w:rsidRDefault="00B72A02" w:rsidP="00081048">
      <w:pPr>
        <w:spacing w:line="360" w:lineRule="auto"/>
        <w:jc w:val="both"/>
        <w:rPr>
          <w:rFonts w:ascii="Times New Roman" w:hAnsi="Times New Roman" w:cs="Times New Roman"/>
          <w:sz w:val="24"/>
          <w:szCs w:val="24"/>
          <w:lang w:val="en-US"/>
        </w:rPr>
      </w:pPr>
    </w:p>
    <w:p w14:paraId="0E3AE20D" w14:textId="77777777" w:rsidR="00B72A02" w:rsidRPr="00081048" w:rsidRDefault="00B72A02" w:rsidP="00081048">
      <w:pPr>
        <w:spacing w:line="360" w:lineRule="auto"/>
        <w:jc w:val="both"/>
        <w:rPr>
          <w:rFonts w:ascii="Times New Roman" w:hAnsi="Times New Roman" w:cs="Times New Roman"/>
          <w:sz w:val="24"/>
          <w:szCs w:val="24"/>
          <w:lang w:val="en-US"/>
        </w:rPr>
      </w:pPr>
      <w:r w:rsidRPr="00081048">
        <w:rPr>
          <w:rFonts w:ascii="Times New Roman" w:hAnsi="Times New Roman" w:cs="Times New Roman"/>
          <w:sz w:val="24"/>
          <w:szCs w:val="24"/>
          <w:lang w:val="en-US"/>
        </w:rPr>
        <w:lastRenderedPageBreak/>
        <w:t>The analysis argues that training is a condition for the material fulfillment of transparency and publicity, as it links the regulatory "ought to be" with the technical implementation on the platform. Insufficient training can manifest itself on two complementary levels: (</w:t>
      </w:r>
      <w:proofErr w:type="spellStart"/>
      <w:r w:rsidRPr="00081048">
        <w:rPr>
          <w:rFonts w:ascii="Times New Roman" w:hAnsi="Times New Roman" w:cs="Times New Roman"/>
          <w:sz w:val="24"/>
          <w:szCs w:val="24"/>
          <w:lang w:val="en-US"/>
        </w:rPr>
        <w:t>i</w:t>
      </w:r>
      <w:proofErr w:type="spellEnd"/>
      <w:r w:rsidRPr="00081048">
        <w:rPr>
          <w:rFonts w:ascii="Times New Roman" w:hAnsi="Times New Roman" w:cs="Times New Roman"/>
          <w:sz w:val="24"/>
          <w:szCs w:val="24"/>
          <w:lang w:val="en-US"/>
        </w:rPr>
        <w:t>) regulatory gaps, when there is a lack of clarity regarding what should be published, at what stage, and with what scope; and (ii) technical gaps, when there is a lack of knowledge about how to properly register, upload, update, and classify information in SECOP.</w:t>
      </w:r>
    </w:p>
    <w:p w14:paraId="03FEC812" w14:textId="77777777" w:rsidR="00B72A02" w:rsidRPr="00081048" w:rsidRDefault="00B72A02" w:rsidP="00081048">
      <w:pPr>
        <w:spacing w:line="360" w:lineRule="auto"/>
        <w:jc w:val="both"/>
        <w:rPr>
          <w:rFonts w:ascii="Times New Roman" w:hAnsi="Times New Roman" w:cs="Times New Roman"/>
          <w:sz w:val="24"/>
          <w:szCs w:val="24"/>
          <w:lang w:val="en-US"/>
        </w:rPr>
      </w:pPr>
      <w:r w:rsidRPr="00081048">
        <w:rPr>
          <w:rFonts w:ascii="Times New Roman" w:hAnsi="Times New Roman" w:cs="Times New Roman"/>
          <w:sz w:val="24"/>
          <w:szCs w:val="24"/>
          <w:lang w:val="en-US"/>
        </w:rPr>
        <w:t>The interaction of both gaps increases the risk of incomplete or unhelpful publications, generating a formal transparency that does not translate into verifiable transparency.</w:t>
      </w:r>
    </w:p>
    <w:p w14:paraId="604E089E" w14:textId="77777777" w:rsidR="00B72A02" w:rsidRPr="00081048" w:rsidRDefault="00B72A02" w:rsidP="00081048">
      <w:pPr>
        <w:spacing w:line="360" w:lineRule="auto"/>
        <w:jc w:val="both"/>
        <w:rPr>
          <w:rFonts w:ascii="Times New Roman" w:hAnsi="Times New Roman" w:cs="Times New Roman"/>
          <w:sz w:val="24"/>
          <w:szCs w:val="24"/>
          <w:lang w:val="en-US"/>
        </w:rPr>
      </w:pPr>
      <w:r w:rsidRPr="00081048">
        <w:rPr>
          <w:rFonts w:ascii="Times New Roman" w:hAnsi="Times New Roman" w:cs="Times New Roman"/>
          <w:sz w:val="24"/>
          <w:szCs w:val="24"/>
          <w:lang w:val="en-US"/>
        </w:rPr>
        <w:t>Finally, the article offers concrete guidelines for improvement focused on training and standardization, including short training modules and stage-by-stage checklists, with the aim of strengthening the quality, integrity, and timeliness of published information.</w:t>
      </w:r>
    </w:p>
    <w:p w14:paraId="2CAD8A70" w14:textId="77777777" w:rsidR="00B72A02" w:rsidRPr="00081048" w:rsidRDefault="00B72A02" w:rsidP="00081048">
      <w:pPr>
        <w:spacing w:line="360" w:lineRule="auto"/>
        <w:jc w:val="both"/>
        <w:rPr>
          <w:rFonts w:ascii="Times New Roman" w:hAnsi="Times New Roman" w:cs="Times New Roman"/>
          <w:sz w:val="24"/>
          <w:szCs w:val="24"/>
          <w:lang w:val="en-US"/>
        </w:rPr>
      </w:pPr>
      <w:r w:rsidRPr="00081048">
        <w:rPr>
          <w:rFonts w:ascii="Times New Roman" w:hAnsi="Times New Roman" w:cs="Times New Roman"/>
          <w:sz w:val="24"/>
          <w:szCs w:val="24"/>
          <w:lang w:val="en-US"/>
        </w:rPr>
        <w:t>It is concluded that the effectiveness of the principles of transparency and publicity depends not only on regulation and available technology, but also on sustained institutional capacities that allow SECOP publication to become a real mechanism for control, accountability, and public trust.</w:t>
      </w:r>
    </w:p>
    <w:p w14:paraId="6DFC0315" w14:textId="6CF4C965" w:rsidR="00B72A02" w:rsidRPr="00081048" w:rsidRDefault="00B72A02" w:rsidP="00081048">
      <w:pPr>
        <w:spacing w:line="360" w:lineRule="auto"/>
        <w:jc w:val="both"/>
        <w:rPr>
          <w:rFonts w:ascii="Times New Roman" w:hAnsi="Times New Roman" w:cs="Times New Roman"/>
          <w:sz w:val="24"/>
          <w:szCs w:val="24"/>
          <w:lang w:val="en-US"/>
        </w:rPr>
      </w:pPr>
      <w:r w:rsidRPr="00727A7F">
        <w:rPr>
          <w:rFonts w:ascii="Times New Roman" w:hAnsi="Times New Roman" w:cs="Times New Roman"/>
          <w:b/>
          <w:bCs/>
          <w:i/>
          <w:iCs/>
          <w:sz w:val="24"/>
          <w:szCs w:val="24"/>
          <w:lang w:val="en-US"/>
        </w:rPr>
        <w:t>Keywords:</w:t>
      </w:r>
      <w:r w:rsidRPr="00081048">
        <w:rPr>
          <w:rFonts w:ascii="Times New Roman" w:hAnsi="Times New Roman" w:cs="Times New Roman"/>
          <w:sz w:val="24"/>
          <w:szCs w:val="24"/>
          <w:lang w:val="en-US"/>
        </w:rPr>
        <w:t xml:space="preserve"> SECOP, transparency, contract publicity, training of public officials, disclosure of public information.</w:t>
      </w:r>
    </w:p>
    <w:p w14:paraId="05DF0D73" w14:textId="1566EBB0" w:rsidR="00B72A02" w:rsidRPr="00081048" w:rsidRDefault="00B72A02" w:rsidP="00081048">
      <w:pPr>
        <w:spacing w:line="360" w:lineRule="auto"/>
        <w:jc w:val="both"/>
        <w:rPr>
          <w:rFonts w:ascii="Times New Roman" w:hAnsi="Times New Roman" w:cs="Times New Roman"/>
          <w:b/>
          <w:bCs/>
          <w:sz w:val="24"/>
          <w:szCs w:val="24"/>
          <w:lang w:val="en-US"/>
        </w:rPr>
      </w:pPr>
    </w:p>
    <w:p w14:paraId="253CFC87" w14:textId="77777777" w:rsidR="00EF6FB7" w:rsidRPr="00727A7F" w:rsidRDefault="00EF6FB7" w:rsidP="00081048">
      <w:pPr>
        <w:spacing w:line="360" w:lineRule="auto"/>
        <w:jc w:val="both"/>
        <w:rPr>
          <w:rFonts w:ascii="Times New Roman" w:hAnsi="Times New Roman" w:cs="Times New Roman"/>
          <w:b/>
          <w:bCs/>
          <w:i/>
          <w:iCs/>
          <w:sz w:val="24"/>
          <w:szCs w:val="24"/>
        </w:rPr>
      </w:pPr>
      <w:r w:rsidRPr="00727A7F">
        <w:rPr>
          <w:rFonts w:ascii="Times New Roman" w:hAnsi="Times New Roman" w:cs="Times New Roman"/>
          <w:b/>
          <w:bCs/>
          <w:i/>
          <w:iCs/>
          <w:sz w:val="24"/>
          <w:szCs w:val="24"/>
        </w:rPr>
        <w:t>Introducción</w:t>
      </w:r>
    </w:p>
    <w:p w14:paraId="11D0C299"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 xml:space="preserve">La contratación estatal en Colombia se sustenta en un conjunto de principios orientadores que buscan asegurar la legitimidad de la gestión pública, la correcta administración de los recursos y la confianza ciudadana. En este marco, el principio de transparencia no opera como una cláusula retórica, sino como un mandato que exige actuaciones visibles, verificables y controlables por terceros, de modo que las decisiones contractuales puedan ser escrutadas por la ciudadanía, los oferentes y los órganos de control. </w:t>
      </w:r>
    </w:p>
    <w:p w14:paraId="286C8659" w14:textId="10C6228E"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La Ley 80 de 1993 consagra expresamente la transparencia como principio rector de la contratación estatal, vinculándola a deberes concretos que favorecen el acceso a la información y la publicidad de las actuaciones. (Colombia, Congreso de la República, 1993).</w:t>
      </w:r>
    </w:p>
    <w:p w14:paraId="0A658C2E"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lastRenderedPageBreak/>
        <w:t>En paralelo, el régimen general de acceso a la información pública refuerza este enfoque al establecer el principio de máxima publicidad, conforme al cual toda información en poder de los sujetos obligados se presume pública y solo puede restringirse por disposición constitucional o legal.</w:t>
      </w:r>
    </w:p>
    <w:p w14:paraId="1C285331" w14:textId="78BE36B5"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 xml:space="preserve"> Esta regla, prevista en la Ley 1712 de 2014, no solo amplía el alcance del derecho de acceso a la información, sino que también fija un estándar de comportamiento estatal: la administración debe facilitar el conocimiento público de su actuación, especialmente cuando involucra recursos públicos y decisiones que impactan el interés general. (Colombia, Congreso de la República, 2014).</w:t>
      </w:r>
    </w:p>
    <w:p w14:paraId="3445C05B" w14:textId="57F9D3C6"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En la práctica contemporánea, la materialización de la transparencia y la publicidad contractual se concreta de manera significativa a través del Sistema Electrónico para la Contratación Pública (SECOP), particularmente mediante SECOP II. La Agencia Nacional de Contratación Pública – Colombia Compra Eficiente define SECOP II como una plataforma transaccional que permite gestionar en línea los procesos de contratación, con una vista pública orientada a que terceros interesados realicen seguimiento a la contratación pública. (Agencia Nacional de Contratación Pública – Colombia Compra Eficiente [ANCP–CCE], s. f.).</w:t>
      </w:r>
    </w:p>
    <w:p w14:paraId="17C24799"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En este sentido, SECOP II no se limita a ser un repositorio: opera como el canal institucional donde se consolida el expediente electrónico y donde se hace efectiva la publicidad de los documentos relevantes del proceso.</w:t>
      </w:r>
    </w:p>
    <w:p w14:paraId="263E25E1" w14:textId="36D20A40"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El deber de publicación en SECOP cuenta, además, con un soporte reglamentario claro. El Decreto 1082 de 2015 establece que la entidad estatal está obligada a publicar en el SECOP los Documentos del Proceso y los actos administrativos asociados, fijando así la publicidad como exigencia operativa y no meramente programática. (Colombia, Presidencia de la República, 2015).</w:t>
      </w:r>
    </w:p>
    <w:p w14:paraId="32E00155" w14:textId="570EF7B4"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A su vez, la relatoría de Colombia Compra Eficiente ha reiterado la importancia jurídica del deber de publicidad como mecanismo que permite controlar las actuaciones administrativas y verificar el cumplimiento de los principios de la contratación pública. (ANCP–CCE, 2025).</w:t>
      </w:r>
    </w:p>
    <w:p w14:paraId="7441A2AF" w14:textId="150AFBCD" w:rsidR="00EF6FB7" w:rsidRPr="00081048" w:rsidRDefault="00EF6FB7" w:rsidP="00081048">
      <w:pPr>
        <w:spacing w:line="360" w:lineRule="auto"/>
        <w:jc w:val="both"/>
        <w:rPr>
          <w:rFonts w:ascii="Times New Roman" w:hAnsi="Times New Roman" w:cs="Times New Roman"/>
          <w:sz w:val="24"/>
          <w:szCs w:val="24"/>
        </w:rPr>
      </w:pPr>
    </w:p>
    <w:p w14:paraId="4E4BB528"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lastRenderedPageBreak/>
        <w:t xml:space="preserve">No obstante, la sola existencia de un sistema y de un deber normativo de publicación no garantiza, por sí misma, una transparencia efectiva. En contextos de implementación digital, la transparencia no depende únicamente de “publicar”, sino de publicar información útil: completa, coherente y disponible a tiempo para que cumpla su finalidad de control. </w:t>
      </w:r>
    </w:p>
    <w:p w14:paraId="0EF17C7B" w14:textId="20F76789"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Cuando el registro o los soportes son incompletos, están desarticulados, se cargan fuera de los tiempos o se clasifican incorrectamente, la publicidad se vuelve formal y pierde capacidad de asegurar trazabilidad y rendición de cuentas. En otras palabras, el problema deja de ser la ausencia total de información y pasa a ser la calidad informacional de lo publicado y su capacidad real de permitir verificación externa.</w:t>
      </w:r>
    </w:p>
    <w:p w14:paraId="25B3E795"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En ese punto emerge el problema central que orienta este artículo: cuando publicar no basta. La hipótesis de trabajo sostiene que una de las causas más relevantes de las fallas de información en SECOP se relaciona con la insuficiente capacitación normativa y técnica de los funcionarios responsables de la publicación.</w:t>
      </w:r>
    </w:p>
    <w:p w14:paraId="1D8BE172" w14:textId="01C80B2F"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Esta capacitación es doble: (i) normativa, en cuanto exige comprender qué debe publicarse, en qué etapa y con qué alcance; y (</w:t>
      </w:r>
      <w:proofErr w:type="spellStart"/>
      <w:r w:rsidRPr="00081048">
        <w:rPr>
          <w:rFonts w:ascii="Times New Roman" w:hAnsi="Times New Roman" w:cs="Times New Roman"/>
          <w:sz w:val="24"/>
          <w:szCs w:val="24"/>
        </w:rPr>
        <w:t>ii</w:t>
      </w:r>
      <w:proofErr w:type="spellEnd"/>
      <w:r w:rsidRPr="00081048">
        <w:rPr>
          <w:rFonts w:ascii="Times New Roman" w:hAnsi="Times New Roman" w:cs="Times New Roman"/>
          <w:sz w:val="24"/>
          <w:szCs w:val="24"/>
        </w:rPr>
        <w:t>) técnica, en cuanto requiere dominar la lógica operativa del sistema (registro, carga, actualización y correcta clasificación de información y documentos). La brecha entre el deber jurídico de publicidad y la publicación efectiva en SECOP se amplía cuando estas competencias no están suficientemente instaladas o estandarizadas.</w:t>
      </w:r>
    </w:p>
    <w:p w14:paraId="2CCB23B7"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 xml:space="preserve">Por tanto, este artículo se propone analizar en qué medida la insuficiente capacitación normativa-técnica incide en tres dimensiones críticas de la información publicada: calidad (coherencia y suficiencia del registro), integridad (completitud del conjunto documental) y oportunidad (publicación en el momento y dentro del término pertinente). </w:t>
      </w:r>
    </w:p>
    <w:p w14:paraId="3BF11BD7" w14:textId="7261CB8F"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Este enfoque es especialmente relevante para la formación posgradual en contratación estatal, porque permite comprender la transparencia como un resultado verificable que depende de la interacción entre norma, plataforma y capacidades institucionales; y, a la vez, ofrece un punto de intervención práctica: lineamientos de capacitación y estandarización orientados a fortalecer la publicidad contractual y, en consecuencia, la transparencia.</w:t>
      </w:r>
    </w:p>
    <w:p w14:paraId="2BC5D6E8" w14:textId="77777777" w:rsidR="00EF6FB7" w:rsidRPr="00081048" w:rsidRDefault="00EF6FB7" w:rsidP="00081048">
      <w:pPr>
        <w:spacing w:line="360" w:lineRule="auto"/>
        <w:jc w:val="both"/>
        <w:rPr>
          <w:rFonts w:ascii="Times New Roman" w:hAnsi="Times New Roman" w:cs="Times New Roman"/>
          <w:sz w:val="24"/>
          <w:szCs w:val="24"/>
        </w:rPr>
      </w:pPr>
    </w:p>
    <w:p w14:paraId="31942592"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lastRenderedPageBreak/>
        <w:t xml:space="preserve">Metodológicamente, el artículo adopta un enfoque cualitativo de tipo documental-jurídico, basado en la revisión sistemática del marco normativo y de los lineamientos oficiales sobre SECOP II y el deber de publicidad. </w:t>
      </w:r>
    </w:p>
    <w:p w14:paraId="616AB46C" w14:textId="20049155" w:rsidR="00EF6FB7"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A partir de esta revisión, se estructuran criterios mínimos documentales para identificar fallas típicas y se proponen orientaciones concretas de mejora centradas en capacitación y estandarización. Con ello, se busca aportar a la academia y a los profesionales del derecho un análisis aplicable sobre un punto neurálgico de la contratación estatal colombiana: la distancia entre la transparencia prevista por el ordenamiento y la transparencia que efectivamente se produce en la práctica de publicación en SECOP.</w:t>
      </w:r>
    </w:p>
    <w:p w14:paraId="6A4832DB" w14:textId="7BEB0C8E" w:rsidR="00106F58" w:rsidRPr="00081048" w:rsidRDefault="00106F58" w:rsidP="00081048">
      <w:pPr>
        <w:spacing w:line="360" w:lineRule="auto"/>
        <w:jc w:val="both"/>
        <w:rPr>
          <w:rFonts w:ascii="Times New Roman" w:hAnsi="Times New Roman" w:cs="Times New Roman"/>
          <w:sz w:val="24"/>
          <w:szCs w:val="24"/>
        </w:rPr>
      </w:pPr>
      <w:r w:rsidRPr="00106F58">
        <w:rPr>
          <w:rFonts w:ascii="Times New Roman" w:hAnsi="Times New Roman" w:cs="Times New Roman"/>
          <w:sz w:val="24"/>
          <w:szCs w:val="24"/>
        </w:rPr>
        <w:t>Desde una perspectiva jurisprudencial, el Consejo de Estado ha sostenido que el principio de transparencia no constituye una exigencia meramente formal, sino una garantía orientada a que la actividad contractual se desarrolle con plena publicidad, respeto por la igualdad de oportunidades, imparcialidad y control de terceros. En ese sentido, la transparencia no se satisface con la sola existencia de información en el sistema, sino con la posibilidad real de que esta permita conocer, seguir y verificar las actuaciones administrativas y contractuales. Esta comprensión resulta relevante para el estudio de SECOP, porque desplaza la discusión desde la simple carga documental hacia la utilidad jurídica de lo publicado para fines de vigilancia, contradicción y rendición de cuentas.</w:t>
      </w:r>
    </w:p>
    <w:p w14:paraId="65CC50BC" w14:textId="77777777" w:rsidR="00EF6FB7" w:rsidRPr="00727A7F" w:rsidRDefault="00EF6FB7" w:rsidP="00081048">
      <w:pPr>
        <w:spacing w:line="360" w:lineRule="auto"/>
        <w:jc w:val="both"/>
        <w:rPr>
          <w:rFonts w:ascii="Times New Roman" w:hAnsi="Times New Roman" w:cs="Times New Roman"/>
          <w:b/>
          <w:bCs/>
          <w:i/>
          <w:iCs/>
          <w:sz w:val="24"/>
          <w:szCs w:val="24"/>
        </w:rPr>
      </w:pPr>
      <w:r w:rsidRPr="00727A7F">
        <w:rPr>
          <w:rFonts w:ascii="Times New Roman" w:hAnsi="Times New Roman" w:cs="Times New Roman"/>
          <w:b/>
          <w:bCs/>
          <w:i/>
          <w:iCs/>
          <w:sz w:val="24"/>
          <w:szCs w:val="24"/>
        </w:rPr>
        <w:t>Desarrollo</w:t>
      </w:r>
    </w:p>
    <w:p w14:paraId="6A422E1C" w14:textId="0D00432C" w:rsidR="00EF6FB7" w:rsidRPr="00081048" w:rsidRDefault="00EF6FB7" w:rsidP="00081048">
      <w:pPr>
        <w:spacing w:line="360" w:lineRule="auto"/>
        <w:jc w:val="both"/>
        <w:rPr>
          <w:rFonts w:ascii="Times New Roman" w:hAnsi="Times New Roman" w:cs="Times New Roman"/>
          <w:b/>
          <w:bCs/>
          <w:sz w:val="24"/>
          <w:szCs w:val="24"/>
        </w:rPr>
      </w:pPr>
      <w:r w:rsidRPr="00081048">
        <w:rPr>
          <w:rFonts w:ascii="Times New Roman" w:hAnsi="Times New Roman" w:cs="Times New Roman"/>
          <w:b/>
          <w:bCs/>
          <w:sz w:val="24"/>
          <w:szCs w:val="24"/>
        </w:rPr>
        <w:t>1. Transparencia y publicidad en contratación estatal: del principio a la exigencia operativa.</w:t>
      </w:r>
    </w:p>
    <w:p w14:paraId="19B4DE01" w14:textId="5E1DAC59"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En la contratación estatal colombiana, la transparencia y la publicidad funcionan como condiciones de legitimidad del gasto público y como garantías para el control social e institucional. La Ley 80 de 1993 incorpora la transparencia como principio rector, lo que implica que la actividad contractual debe ser observable y verificable, no solo para los intervinientes directos sino también para terceros interesados (Colombia, Congreso de la República, 1993).</w:t>
      </w:r>
    </w:p>
    <w:p w14:paraId="108169F2" w14:textId="4CA81CF5"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 xml:space="preserve">A este marco se suma el régimen general del acceso a la información pública. La Ley 1712 de 2014 consagra el principio de máxima publicidad, conforme al cual la información en </w:t>
      </w:r>
      <w:r w:rsidRPr="00081048">
        <w:rPr>
          <w:rFonts w:ascii="Times New Roman" w:hAnsi="Times New Roman" w:cs="Times New Roman"/>
          <w:sz w:val="24"/>
          <w:szCs w:val="24"/>
        </w:rPr>
        <w:lastRenderedPageBreak/>
        <w:t>posesión de sujetos obligados se presume pública y su restricción es excepcional (Colombia, Congreso de la República, 2014). En contratación, esta regla refuerza la idea de que la publicidad no es un “acto accesorio”, sino un componente estructural para que la transparencia sea efectiva y controlable.</w:t>
      </w:r>
    </w:p>
    <w:p w14:paraId="686BCDA0" w14:textId="4A42A8CE"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En esta línea, la doctrina administrativa ha recalcado que el principio de publicidad impone a las autoridades el deber de dar a conocer actos, contratos y decisiones para que puedan ser divulgados y eventualmente controlados (Agencia Nacional de Contratación Pública – Colombia Compra Eficiente [ANCP–CCE], 2025a).</w:t>
      </w:r>
    </w:p>
    <w:p w14:paraId="7A52CDA2" w14:textId="3CB1A302"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Esto permite entender que la transparencia exige una publicidad útil: aquella que habilita verificación, seguimiento y rendición de cuentas, y no una simple “existencia” de información en un repositorio.</w:t>
      </w:r>
    </w:p>
    <w:p w14:paraId="05C7455E" w14:textId="5BB62E69" w:rsidR="00EF6FB7" w:rsidRPr="00081048" w:rsidRDefault="00AB2548" w:rsidP="000810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La insuficiencia en la publicación contractual no puede ser entendida únicamente como un incumplimiento operativo aislado. En realidad, compromete la eficacia misma de los principios que estructuran la contratación estatal. Cuando la información se publica de manera fragmentaria, tardía o desarticulada, se rompe la cadena de inteligibilidad del proceso contractual y se vacía de contenido la posibilidad de control. Por ello, el problema no consiste simplemente en verificar si hay documentos cargados en SECOP, sino en establecer si lo publicado permite conocer qué decidió la entidad, por qué lo hizo, en qué momento y con qué soporte documental. Desde esta perspectiva, la transparencia deja de ser un deber formal de exhibición y pasa a entenderse como un estándar material de verificabilidad.</w:t>
      </w:r>
    </w:p>
    <w:p w14:paraId="44313D3D" w14:textId="4F1A3D61"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b/>
          <w:bCs/>
          <w:sz w:val="24"/>
          <w:szCs w:val="24"/>
        </w:rPr>
        <w:t>2. SECOP como infraestructura de publicidad y transparencia: obligatoriedad y contenido mínimo.</w:t>
      </w:r>
    </w:p>
    <w:p w14:paraId="3D437486" w14:textId="48BCDF1F"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El SECOP surge como el mecanismo institucional destinado a concentrar y difundir la información oficial de la contratación realizada con recursos públicos. La relatoría de la ANCP–CCE recuerda que el literal c) del artículo 3 de la Ley 1150 de 2007 concibe el SECOP como un sistema que “contará con la información oficial” y definirá patrones para su difusión por canales electrónicos (ANCP–CCE, 2024).</w:t>
      </w:r>
    </w:p>
    <w:p w14:paraId="10C8760A" w14:textId="11D893EB"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 xml:space="preserve">En términos operativos, el deber de publicación se concreta de forma expresa en el Decreto 1082 de 2015. La ANCP–CCE ha enfatizado que el artículo 2.2.1.1.1.7.1 ordena publicar en </w:t>
      </w:r>
      <w:r w:rsidRPr="00081048">
        <w:rPr>
          <w:rFonts w:ascii="Times New Roman" w:hAnsi="Times New Roman" w:cs="Times New Roman"/>
          <w:sz w:val="24"/>
          <w:szCs w:val="24"/>
        </w:rPr>
        <w:lastRenderedPageBreak/>
        <w:t>SECOP los Documentos del Proceso y los actos administrativos del proceso de contratación dentro de los tres (3) días siguientes a su expedición (ANCP–CCE, 2025b).</w:t>
      </w:r>
    </w:p>
    <w:p w14:paraId="3CAF6375" w14:textId="41D6842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La misma fuente delimita qué se entiende por Documentos del Proceso, incluyendo estudios previos, convocatoria, pliegos o invitación, adendas, oferta, informe de evaluación, contrato y otros documentos expedidos durante el proceso (ANCP–CCE, 2025b).</w:t>
      </w:r>
    </w:p>
    <w:p w14:paraId="5D989CA4" w14:textId="177BBC3B"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Adicionalmente, SECOP II se define institucionalmente como una plataforma transaccional con vista pública, diseñada para gestionar procesos de contratación en línea y facilitar el seguimiento externo (ANCP–CCE, s. f.).</w:t>
      </w:r>
    </w:p>
    <w:p w14:paraId="00F0D1E5" w14:textId="5EBED35D" w:rsidR="00EF6FB7"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En consecuencia, la transparencia se juega en la práctica en la calidad del “expediente electrónico” que logra construirse y mantenerse actualizado en el sistema.</w:t>
      </w:r>
    </w:p>
    <w:p w14:paraId="59BF6DED" w14:textId="1FE90074" w:rsidR="00E76F23" w:rsidRDefault="00E76F23" w:rsidP="00081048">
      <w:pPr>
        <w:spacing w:line="360" w:lineRule="auto"/>
        <w:jc w:val="both"/>
        <w:rPr>
          <w:rFonts w:ascii="Times New Roman" w:hAnsi="Times New Roman" w:cs="Times New Roman"/>
          <w:sz w:val="24"/>
          <w:szCs w:val="24"/>
        </w:rPr>
      </w:pPr>
    </w:p>
    <w:p w14:paraId="3219D4DB" w14:textId="1FD7D83E" w:rsidR="00EF6FB7" w:rsidRPr="00081048" w:rsidRDefault="00E76F23" w:rsidP="00081048">
      <w:pPr>
        <w:spacing w:line="360" w:lineRule="auto"/>
        <w:jc w:val="both"/>
        <w:rPr>
          <w:rFonts w:ascii="Times New Roman" w:hAnsi="Times New Roman" w:cs="Times New Roman"/>
          <w:sz w:val="24"/>
          <w:szCs w:val="24"/>
        </w:rPr>
      </w:pPr>
      <w:r w:rsidRPr="00E76F23">
        <w:rPr>
          <w:rFonts w:ascii="Times New Roman" w:hAnsi="Times New Roman" w:cs="Times New Roman"/>
          <w:b/>
          <w:bCs/>
          <w:sz w:val="24"/>
          <w:szCs w:val="24"/>
        </w:rPr>
        <w:t xml:space="preserve">3. </w:t>
      </w:r>
      <w:r w:rsidR="00EF6FB7" w:rsidRPr="00E76F23">
        <w:rPr>
          <w:rFonts w:ascii="Times New Roman" w:hAnsi="Times New Roman" w:cs="Times New Roman"/>
          <w:b/>
          <w:bCs/>
          <w:sz w:val="24"/>
          <w:szCs w:val="24"/>
        </w:rPr>
        <w:t>Cuando publicar no basta: fallas de información en SECOP y sus dimensiones</w:t>
      </w:r>
    </w:p>
    <w:p w14:paraId="56EEE192"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El problema no se agota en la existencia de un deber jurídico de publicar, sino en la materialidad de la información publicada. Este artículo asume que las falencias relevantes se expresan en tres dimensiones:</w:t>
      </w:r>
    </w:p>
    <w:p w14:paraId="1A72CBA8"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Calidad: se refiere a la coherencia, claridad y suficiencia del registro y sus soportes. Una publicación puede existir, pero resultar poco útil si presenta inconsistencias, información incompleta en campos clave o documentos que no permiten reconstruir la decisión o el desarrollo contractual.</w:t>
      </w:r>
    </w:p>
    <w:p w14:paraId="1028CFA5"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Integridad: alude a la completitud del conjunto documental mínimo exigible/esperable dentro del proceso. La ausencia de piezas esenciales (por ejemplo, documentos previos, informes o modificaciones) debilita la trazabilidad y limita el control. La propia definición reglamentaria de “Documentos del Proceso” permite fijar un mínimo documental para evaluar integridad (ANCP–CCE, 2025b).</w:t>
      </w:r>
    </w:p>
    <w:p w14:paraId="0033DC34" w14:textId="59708491"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Oportunidad: supone publicar dentro de los plazos y en los momentos procesales pertinentes. En este punto, el estándar de tres (3) días para la publicación de documentos y actos se convierte en un criterio objetivo de oportunidad (ANCP–CCE, 2025b).</w:t>
      </w:r>
    </w:p>
    <w:p w14:paraId="4C9A9E2B" w14:textId="6EFA0815" w:rsidR="00EF6FB7"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lastRenderedPageBreak/>
        <w:t>Estas dimensiones explican por qué “publicar” puede convertirse en una transparencia meramente formal. Incluso, análisis internacionales sobre reformas de compras públicas han señalado que la digitalización y la integración de sistemas impactan la transparencia, pero enfrentan retos asociados a la precisión y calidad de los datos y a su uso para rendición de cuentas (OECD, 2016).</w:t>
      </w:r>
    </w:p>
    <w:p w14:paraId="091505AB" w14:textId="77777777" w:rsidR="00AB2548" w:rsidRPr="00081048" w:rsidRDefault="00AB2548" w:rsidP="00081048">
      <w:pPr>
        <w:spacing w:line="360" w:lineRule="auto"/>
        <w:jc w:val="both"/>
        <w:rPr>
          <w:rFonts w:ascii="Times New Roman" w:hAnsi="Times New Roman" w:cs="Times New Roman"/>
          <w:sz w:val="24"/>
          <w:szCs w:val="24"/>
        </w:rPr>
      </w:pPr>
    </w:p>
    <w:p w14:paraId="3291C5CF" w14:textId="77777777" w:rsidR="00EF6FB7" w:rsidRPr="00081048" w:rsidRDefault="00EF6FB7" w:rsidP="00081048">
      <w:pPr>
        <w:spacing w:line="360" w:lineRule="auto"/>
        <w:jc w:val="both"/>
        <w:rPr>
          <w:rFonts w:ascii="Times New Roman" w:hAnsi="Times New Roman" w:cs="Times New Roman"/>
          <w:b/>
          <w:bCs/>
          <w:sz w:val="24"/>
          <w:szCs w:val="24"/>
        </w:rPr>
      </w:pPr>
      <w:r w:rsidRPr="00081048">
        <w:rPr>
          <w:rFonts w:ascii="Times New Roman" w:hAnsi="Times New Roman" w:cs="Times New Roman"/>
          <w:b/>
          <w:bCs/>
          <w:sz w:val="24"/>
          <w:szCs w:val="24"/>
        </w:rPr>
        <w:t>4. Capacitación normativa-técnica como variable explicativa</w:t>
      </w:r>
    </w:p>
    <w:p w14:paraId="46963400"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El núcleo explicativo del artículo se ubica en la capacidad institucional para convertir reglas jurídicas en acciones técnicas correctas dentro de SECOP. Aquí, la capacitación se entiende como un componente doble:</w:t>
      </w:r>
    </w:p>
    <w:p w14:paraId="017A7412" w14:textId="6978043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Capacitación normativa: comprensión de qué documentos/actos deben publicarse, en qué etapa, bajo qué alcance y con qué finalidad de transparencia. Esta comprensión se vincula con el marco normativo y con interpretaciones institucionales que precisan obligaciones y definiciones (ANCP–CCE, 2025b).</w:t>
      </w:r>
    </w:p>
    <w:p w14:paraId="3C469303" w14:textId="2D4C077C"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Capacitación técnica: dominio operativo de SECOP II para registrar, cargar, clasificar, actualizar y articular documentos con los hitos del proceso contractual. Las guías de gestión contractual en SECOP II evidencian que el sistema requiere diligenciamiento y verificación de múltiples componentes del contrato y su ejecución, lo que supone competencias operativas específicas (ANCP–CCE, 2021).</w:t>
      </w:r>
    </w:p>
    <w:p w14:paraId="58C7E2F5" w14:textId="29A920F9"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Bajo esta perspectiva, las fallas de información (calidad–integridad–oportunidad) no se explican únicamente por desatención o incumplimiento deliberado, sino también por brechas de conocimiento: desconocimiento del alcance normativo del deber de publicación o falta de estandarización en el uso del sistema. La existencia de circulares y lineamientos para el uso correcto de SECOP II confirma que la autoridad identifica la necesidad de orientar y corregir prácticas de publicación (ANCP–CCE, 2025c).</w:t>
      </w:r>
    </w:p>
    <w:p w14:paraId="07C10631" w14:textId="77777777" w:rsidR="00EF6FB7" w:rsidRPr="00081048" w:rsidRDefault="00EF6FB7" w:rsidP="00081048">
      <w:pPr>
        <w:spacing w:line="360" w:lineRule="auto"/>
        <w:jc w:val="both"/>
        <w:rPr>
          <w:rFonts w:ascii="Times New Roman" w:hAnsi="Times New Roman" w:cs="Times New Roman"/>
          <w:b/>
          <w:bCs/>
          <w:sz w:val="24"/>
          <w:szCs w:val="24"/>
        </w:rPr>
      </w:pPr>
      <w:r w:rsidRPr="00081048">
        <w:rPr>
          <w:rFonts w:ascii="Times New Roman" w:hAnsi="Times New Roman" w:cs="Times New Roman"/>
          <w:b/>
          <w:bCs/>
          <w:sz w:val="24"/>
          <w:szCs w:val="24"/>
        </w:rPr>
        <w:t>5. Derivaciones aplicadas: lineamientos de capacitación y estandarización mínimos</w:t>
      </w:r>
    </w:p>
    <w:p w14:paraId="7FAC2B8D" w14:textId="7777777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lastRenderedPageBreak/>
        <w:t>Desde una perspectiva documental (sin trabajo de campo), el análisis permite proponer lineamientos de mejora de carácter básico y verificable, dirigidos a fortalecer la transparencia y la publicidad contractual:</w:t>
      </w:r>
    </w:p>
    <w:p w14:paraId="5862A73A" w14:textId="24A69687"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b/>
          <w:bCs/>
          <w:sz w:val="24"/>
          <w:szCs w:val="24"/>
        </w:rPr>
        <w:t>Estandarización mínima del “qué” publicar:</w:t>
      </w:r>
      <w:r w:rsidRPr="00081048">
        <w:rPr>
          <w:rFonts w:ascii="Times New Roman" w:hAnsi="Times New Roman" w:cs="Times New Roman"/>
          <w:sz w:val="24"/>
          <w:szCs w:val="24"/>
        </w:rPr>
        <w:t xml:space="preserve"> </w:t>
      </w:r>
      <w:proofErr w:type="spellStart"/>
      <w:r w:rsidRPr="00081048">
        <w:rPr>
          <w:rFonts w:ascii="Times New Roman" w:hAnsi="Times New Roman" w:cs="Times New Roman"/>
          <w:sz w:val="24"/>
          <w:szCs w:val="24"/>
        </w:rPr>
        <w:t>checklist</w:t>
      </w:r>
      <w:proofErr w:type="spellEnd"/>
      <w:r w:rsidRPr="00081048">
        <w:rPr>
          <w:rFonts w:ascii="Times New Roman" w:hAnsi="Times New Roman" w:cs="Times New Roman"/>
          <w:sz w:val="24"/>
          <w:szCs w:val="24"/>
        </w:rPr>
        <w:t xml:space="preserve"> documental por etapa, derivado de la definición de Documentos del Proceso y de obligaciones específicas de publicación.</w:t>
      </w:r>
    </w:p>
    <w:p w14:paraId="25E974D6" w14:textId="4D9DB833" w:rsidR="00EF6FB7" w:rsidRPr="00081048" w:rsidRDefault="00EF6FB7" w:rsidP="00081048">
      <w:pPr>
        <w:spacing w:line="360" w:lineRule="auto"/>
        <w:jc w:val="both"/>
        <w:rPr>
          <w:rFonts w:ascii="Times New Roman" w:hAnsi="Times New Roman" w:cs="Times New Roman"/>
          <w:sz w:val="24"/>
          <w:szCs w:val="24"/>
        </w:rPr>
      </w:pPr>
      <w:r w:rsidRPr="00081048">
        <w:rPr>
          <w:rFonts w:ascii="Times New Roman" w:hAnsi="Times New Roman" w:cs="Times New Roman"/>
          <w:b/>
          <w:bCs/>
          <w:sz w:val="24"/>
          <w:szCs w:val="24"/>
        </w:rPr>
        <w:t>Estandarización del “cuándo” publicar:</w:t>
      </w:r>
      <w:r w:rsidRPr="00081048">
        <w:rPr>
          <w:rFonts w:ascii="Times New Roman" w:hAnsi="Times New Roman" w:cs="Times New Roman"/>
          <w:sz w:val="24"/>
          <w:szCs w:val="24"/>
        </w:rPr>
        <w:t xml:space="preserve"> control interno simple de oportunidad alineado con el estándar de publicación dentro de los tres (3) días siguientes a la expedición de documentos y actos</w:t>
      </w:r>
      <w:r w:rsidR="00081048" w:rsidRPr="00081048">
        <w:rPr>
          <w:rFonts w:ascii="Times New Roman" w:hAnsi="Times New Roman" w:cs="Times New Roman"/>
          <w:sz w:val="24"/>
          <w:szCs w:val="24"/>
        </w:rPr>
        <w:t>.</w:t>
      </w:r>
    </w:p>
    <w:p w14:paraId="36B04FEC" w14:textId="7B820ADC"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b/>
          <w:bCs/>
          <w:sz w:val="24"/>
          <w:szCs w:val="24"/>
        </w:rPr>
        <w:t>Capacitación modular normativa-técnica:</w:t>
      </w:r>
      <w:r w:rsidRPr="00081048">
        <w:rPr>
          <w:rFonts w:ascii="Times New Roman" w:hAnsi="Times New Roman" w:cs="Times New Roman"/>
          <w:sz w:val="24"/>
          <w:szCs w:val="24"/>
        </w:rPr>
        <w:t xml:space="preserve"> módulos breves que integren (i) principios (transparencia/publicidad), (</w:t>
      </w:r>
      <w:proofErr w:type="spellStart"/>
      <w:r w:rsidRPr="00081048">
        <w:rPr>
          <w:rFonts w:ascii="Times New Roman" w:hAnsi="Times New Roman" w:cs="Times New Roman"/>
          <w:sz w:val="24"/>
          <w:szCs w:val="24"/>
        </w:rPr>
        <w:t>ii</w:t>
      </w:r>
      <w:proofErr w:type="spellEnd"/>
      <w:r w:rsidRPr="00081048">
        <w:rPr>
          <w:rFonts w:ascii="Times New Roman" w:hAnsi="Times New Roman" w:cs="Times New Roman"/>
          <w:sz w:val="24"/>
          <w:szCs w:val="24"/>
        </w:rPr>
        <w:t>) obligaciones de publicación y (</w:t>
      </w:r>
      <w:proofErr w:type="spellStart"/>
      <w:r w:rsidRPr="00081048">
        <w:rPr>
          <w:rFonts w:ascii="Times New Roman" w:hAnsi="Times New Roman" w:cs="Times New Roman"/>
          <w:sz w:val="24"/>
          <w:szCs w:val="24"/>
        </w:rPr>
        <w:t>iii</w:t>
      </w:r>
      <w:proofErr w:type="spellEnd"/>
      <w:r w:rsidRPr="00081048">
        <w:rPr>
          <w:rFonts w:ascii="Times New Roman" w:hAnsi="Times New Roman" w:cs="Times New Roman"/>
          <w:sz w:val="24"/>
          <w:szCs w:val="24"/>
        </w:rPr>
        <w:t>) ejecución técnica en SECOP II, apoyados en guías oficiales.</w:t>
      </w:r>
    </w:p>
    <w:p w14:paraId="55522B59" w14:textId="22606B2A"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b/>
          <w:bCs/>
          <w:sz w:val="24"/>
          <w:szCs w:val="24"/>
        </w:rPr>
        <w:t>Control básico de calidad informacional:</w:t>
      </w:r>
      <w:r w:rsidRPr="00081048">
        <w:rPr>
          <w:rFonts w:ascii="Times New Roman" w:hAnsi="Times New Roman" w:cs="Times New Roman"/>
          <w:sz w:val="24"/>
          <w:szCs w:val="24"/>
        </w:rPr>
        <w:t xml:space="preserve"> verificación previa de coherencia entre registro y soportes (nombres, fechas, objeto, valores, actos modificatorios), para evitar publicaciones formalmente existentes, pero materialmente inútiles.</w:t>
      </w:r>
    </w:p>
    <w:p w14:paraId="46E797BA" w14:textId="67FBE7B2"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En conjunto, estos lineamientos buscan cerrar la brecha entre transparencia “declarada” y transparencia “verificable”: aquella que realmente permite que la ciudadanía y los órganos de control reconstruyan el proceso contractual y evalúen la actuación administrativa.</w:t>
      </w:r>
    </w:p>
    <w:p w14:paraId="2C258816" w14:textId="77777777" w:rsidR="00AB2548" w:rsidRPr="00AB2548" w:rsidRDefault="00AB2548" w:rsidP="00AB2548">
      <w:pPr>
        <w:spacing w:line="360" w:lineRule="auto"/>
        <w:jc w:val="both"/>
        <w:rPr>
          <w:rFonts w:ascii="Times New Roman" w:hAnsi="Times New Roman" w:cs="Times New Roman"/>
          <w:b/>
          <w:bCs/>
          <w:sz w:val="24"/>
          <w:szCs w:val="24"/>
        </w:rPr>
      </w:pPr>
      <w:r w:rsidRPr="00AB2548">
        <w:rPr>
          <w:rFonts w:ascii="Times New Roman" w:hAnsi="Times New Roman" w:cs="Times New Roman"/>
          <w:b/>
          <w:bCs/>
          <w:sz w:val="24"/>
          <w:szCs w:val="24"/>
        </w:rPr>
        <w:t>Alcance jurídico de la transparencia y la publicidad en la jurisprudencia administrativa</w:t>
      </w:r>
    </w:p>
    <w:p w14:paraId="2CB8726E" w14:textId="77777777" w:rsidR="00AB2548" w:rsidRPr="00AB2548" w:rsidRDefault="00AB2548" w:rsidP="00AB25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La jurisprudencia contencioso-administrativa ha entendido que la transparencia en la contratación estatal no se reduce a un enunciado axiológico, sino que cumple una función concreta dentro de la actividad administrativa: garantizar que el proceso contractual pueda ser observado, examinado y controlado por los interesados y por la ciudadanía. El Consejo de Estado ha indicado que este principio busca rodear la actividad contractual de garantías de plena publicidad, igualdad de oportunidades e imparcialidad, con el propósito de asegurar que la decisión administrativa responda al interés general y no a lógicas opacas o discrecionales.</w:t>
      </w:r>
    </w:p>
    <w:p w14:paraId="26502E71" w14:textId="77777777" w:rsidR="00AB2548" w:rsidRPr="00AB2548" w:rsidRDefault="00AB2548" w:rsidP="00AB25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 xml:space="preserve">Bajo esa comprensión, la publicidad opera como presupuesto de validez material del proceso contractual, porque permite conocer las decisiones adoptadas, controvertirlas cuando sea </w:t>
      </w:r>
      <w:r w:rsidRPr="00AB2548">
        <w:rPr>
          <w:rFonts w:ascii="Times New Roman" w:hAnsi="Times New Roman" w:cs="Times New Roman"/>
          <w:sz w:val="24"/>
          <w:szCs w:val="24"/>
        </w:rPr>
        <w:lastRenderedPageBreak/>
        <w:t>procedente y verificar si la administración actuó con arreglo a los principios que rigen la contratación pública. De ahí que la información contractual no deba analizarse únicamente desde la lógica del cumplimiento formal del deber de cargar documentos en SECOP, sino desde su aptitud para permitir reconstruir el itinerario contractual y controlar la legalidad, razonabilidad y coherencia de la actuación estatal.</w:t>
      </w:r>
    </w:p>
    <w:p w14:paraId="74370093" w14:textId="77777777" w:rsidR="00AB2548" w:rsidRPr="00AB2548" w:rsidRDefault="00AB2548" w:rsidP="00AB25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En este contexto, la obligación de publicar en SECOP adquiere una dimensión jurídica reforzada. No se trata simplemente de subir archivos a una plataforma, sino de materializar el principio de publicidad mediante información oficial, accesible y útil. La doctrina de Colombia Compra Eficiente ha precisado que este deber comprende la publicación de los documentos del proceso y de los actos administrativos contractuales dentro de los tres días siguientes a su expedición, y ha enfatizado que dicha carga no se agota en un listado cerrado, pues también cobija otros documentos producidos por la entidad durante el proceso contractual. Esta interpretación amplía el estándar de exigencia y permite afirmar que la transparencia se mide por la completitud, coherencia y oportunidad del expediente electrónico.</w:t>
      </w:r>
    </w:p>
    <w:p w14:paraId="45F495C5" w14:textId="3AF78573" w:rsidR="00081048" w:rsidRDefault="00AB2548" w:rsidP="00AB25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Desde esta lectura, la publicidad defectuosa produce un riesgo jurídico concreto: aunque formalmente exista publicación, materialmente puede impedir el control ciudadano, obstaculizar el seguimiento institucional y debilitar la rendición de cuentas. Por ello, la deficiencia en la gestión de la información contractual debe entenderse no solo como una falla técnica, sino como una forma de afectación del principio de transparencia en su dimensión sustancial. Ese es, precisamente, el punto en el que la capacitación normativa y técnica de los funcionarios adquiere valor explicativo y correctivo dentro del problema de investigación.</w:t>
      </w:r>
    </w:p>
    <w:p w14:paraId="441CCFBB" w14:textId="1B39DBF6" w:rsidR="00AB2548" w:rsidRPr="00AB2548" w:rsidRDefault="00AB2548" w:rsidP="00AB2548">
      <w:pPr>
        <w:spacing w:line="360" w:lineRule="auto"/>
        <w:jc w:val="both"/>
        <w:rPr>
          <w:rFonts w:ascii="Times New Roman" w:hAnsi="Times New Roman" w:cs="Times New Roman"/>
          <w:b/>
          <w:bCs/>
          <w:sz w:val="24"/>
          <w:szCs w:val="24"/>
        </w:rPr>
      </w:pPr>
      <w:r w:rsidRPr="00AB2548">
        <w:rPr>
          <w:rFonts w:ascii="Times New Roman" w:hAnsi="Times New Roman" w:cs="Times New Roman"/>
          <w:b/>
          <w:bCs/>
          <w:sz w:val="24"/>
          <w:szCs w:val="24"/>
        </w:rPr>
        <w:t>Metodología</w:t>
      </w:r>
    </w:p>
    <w:p w14:paraId="205A030A" w14:textId="77777777" w:rsidR="00AB2548" w:rsidRPr="00AB2548" w:rsidRDefault="00AB2548" w:rsidP="00AB25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 xml:space="preserve">El presente artículo se desarrolla bajo un enfoque cualitativo, con método jurídico-documental y alcance analítico-propositivo. Su objeto no es medir empíricamente el comportamiento de una entidad territorial específica ni producir hallazgos estadísticos sobre contratos determinados, sino examinar, desde el derecho administrativo y la contratación estatal, la relación entre el deber de publicidad en SECOP y las capacidades normativas-técnicas requeridas para su cumplimiento material. En esa medida, el estudio se mantiene </w:t>
      </w:r>
      <w:r w:rsidRPr="00AB2548">
        <w:rPr>
          <w:rFonts w:ascii="Times New Roman" w:hAnsi="Times New Roman" w:cs="Times New Roman"/>
          <w:sz w:val="24"/>
          <w:szCs w:val="24"/>
        </w:rPr>
        <w:lastRenderedPageBreak/>
        <w:t>dentro de una lógica estrictamente documental, centrada en normas, lineamientos oficiales, doctrina administrativa y referentes jurisprudenciales relevantes.</w:t>
      </w:r>
    </w:p>
    <w:p w14:paraId="26609B4C" w14:textId="77777777" w:rsidR="00AB2548" w:rsidRPr="00AB2548" w:rsidRDefault="00AB2548" w:rsidP="00AB25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La estrategia metodológica parte de una revisión sistemática de fuentes normativas primarias, entre ellas la Constitución Política, la Ley 80 de 1993, la Ley 1150 de 2007, la Ley 1712 de 2014 y el Decreto 1082 de 2015; de fuentes institucionales secundarias, como conceptos, guías, relatorías y circulares de la Agencia Nacional de Contratación Pública; y de fuentes jurisprudenciales orientadas a precisar el alcance de los principios de transparencia y publicidad en la contratación estatal. A partir de estas fuentes se construyen tres categorías analíticas: calidad, integridad y oportunidad de la información publicada en SECOP.</w:t>
      </w:r>
    </w:p>
    <w:p w14:paraId="44C75529" w14:textId="233AA0DC" w:rsidR="00AB2548" w:rsidRPr="00AB2548" w:rsidRDefault="00AB2548" w:rsidP="00AB25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En consecuencia, el artículo no presenta un estudio de caso empírico sobre expedientes contractuales del municipio de Clemencia, sino una reflexión jurídica aplicada que toma como referente problemático las fallas recurrentes de publicación en SECOP y las examina a la luz del ordenamiento vigente. Esta precisión metodológica resulta importante para mantener coherencia entre el problema formulado, el tipo de fuentes empleadas y el alcance real del trabajo, propio de una investigación de especialización con énfasis analítico y propositivo.</w:t>
      </w:r>
    </w:p>
    <w:p w14:paraId="3768BC63" w14:textId="77777777" w:rsidR="00081048" w:rsidRPr="00727A7F" w:rsidRDefault="00081048" w:rsidP="00081048">
      <w:pPr>
        <w:spacing w:line="360" w:lineRule="auto"/>
        <w:jc w:val="both"/>
        <w:rPr>
          <w:rFonts w:ascii="Times New Roman" w:hAnsi="Times New Roman" w:cs="Times New Roman"/>
          <w:b/>
          <w:bCs/>
          <w:i/>
          <w:iCs/>
          <w:sz w:val="24"/>
          <w:szCs w:val="24"/>
        </w:rPr>
      </w:pPr>
      <w:r w:rsidRPr="00727A7F">
        <w:rPr>
          <w:rFonts w:ascii="Times New Roman" w:hAnsi="Times New Roman" w:cs="Times New Roman"/>
          <w:b/>
          <w:bCs/>
          <w:i/>
          <w:iCs/>
          <w:sz w:val="24"/>
          <w:szCs w:val="24"/>
        </w:rPr>
        <w:t>Conclusiones</w:t>
      </w:r>
    </w:p>
    <w:p w14:paraId="2631FEB7" w14:textId="77777777" w:rsidR="00AB2548" w:rsidRPr="00AB2548" w:rsidRDefault="00AB2548" w:rsidP="00AB25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La principal conclusión del análisis es que la publicidad contractual no puede reducirse a una lógica de simple cargue documental en SECOP. Desde el punto de vista jurídico, la transparencia exige que la información publicada sea idónea para permitir conocimiento, seguimiento y control de la actuación administrativa. Por ello, la publicación incompleta, incoherente o extemporánea no constituye una falla menor de gestión, sino una afectación material del principio de transparencia y del derecho de acceso a la información pública.</w:t>
      </w:r>
    </w:p>
    <w:p w14:paraId="095375F6" w14:textId="596C6867" w:rsidR="00AB2548" w:rsidRPr="00AB2548" w:rsidRDefault="00AB2548" w:rsidP="00AB2548">
      <w:pPr>
        <w:spacing w:line="360" w:lineRule="auto"/>
        <w:jc w:val="both"/>
        <w:rPr>
          <w:rFonts w:ascii="Times New Roman" w:hAnsi="Times New Roman" w:cs="Times New Roman"/>
          <w:sz w:val="24"/>
          <w:szCs w:val="24"/>
        </w:rPr>
      </w:pPr>
      <w:r w:rsidRPr="00AB2548">
        <w:rPr>
          <w:rFonts w:ascii="Times New Roman" w:hAnsi="Times New Roman" w:cs="Times New Roman"/>
          <w:sz w:val="24"/>
          <w:szCs w:val="24"/>
        </w:rPr>
        <w:t xml:space="preserve">En ese escenario, la capacitación normativa-técnica de los funcionarios responsables de publicar en SECOP debe entenderse como una condición institucional de cumplimiento, no como una medida complementaria. La transparencia verificable depende de que el operador conozca tanto el alcance jurídico del deber de publicidad como la forma correcta de traducirlo en registros, cargas, clasificaciones y actualizaciones dentro de la plataforma. En consecuencia, fortalecer capacidades, estandarizar criterios y establecer controles básicos de </w:t>
      </w:r>
      <w:r w:rsidRPr="00AB2548">
        <w:rPr>
          <w:rFonts w:ascii="Times New Roman" w:hAnsi="Times New Roman" w:cs="Times New Roman"/>
          <w:sz w:val="24"/>
          <w:szCs w:val="24"/>
        </w:rPr>
        <w:lastRenderedPageBreak/>
        <w:t>calidad informacional son medidas que inciden directamente en la eficacia del principio de publicidad dentro de la contratación estatal.</w:t>
      </w:r>
    </w:p>
    <w:p w14:paraId="2675B3F1" w14:textId="771F5D84"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b/>
          <w:bCs/>
          <w:sz w:val="24"/>
          <w:szCs w:val="24"/>
        </w:rPr>
        <w:t>La transparencia y la publicidad en contratación estatal dependen de la calidad de lo publicado, no solo del acto de publicar.</w:t>
      </w:r>
      <w:r w:rsidRPr="00081048">
        <w:rPr>
          <w:rFonts w:ascii="Times New Roman" w:hAnsi="Times New Roman" w:cs="Times New Roman"/>
          <w:sz w:val="24"/>
          <w:szCs w:val="24"/>
        </w:rPr>
        <w:t xml:space="preserve"> La existencia de SECOP y la obligación normativa de publicar no garantizan por sí mismas transparencia material si la información cargada no permite reconstruir y verificar el proceso contractual.</w:t>
      </w:r>
    </w:p>
    <w:p w14:paraId="64E69696" w14:textId="77777777" w:rsidR="00081048" w:rsidRPr="00081048" w:rsidRDefault="00081048" w:rsidP="00081048">
      <w:pPr>
        <w:spacing w:line="360" w:lineRule="auto"/>
        <w:jc w:val="both"/>
        <w:rPr>
          <w:rFonts w:ascii="Times New Roman" w:hAnsi="Times New Roman" w:cs="Times New Roman"/>
          <w:b/>
          <w:bCs/>
          <w:sz w:val="24"/>
          <w:szCs w:val="24"/>
        </w:rPr>
      </w:pPr>
      <w:r w:rsidRPr="00081048">
        <w:rPr>
          <w:rFonts w:ascii="Times New Roman" w:hAnsi="Times New Roman" w:cs="Times New Roman"/>
          <w:b/>
          <w:bCs/>
          <w:sz w:val="24"/>
          <w:szCs w:val="24"/>
        </w:rPr>
        <w:t>Las fallas de información en SECOP pueden entenderse, documentariamente, en tres dimensiones críticas:</w:t>
      </w:r>
    </w:p>
    <w:p w14:paraId="7D2BD793" w14:textId="77777777"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(i) calidad (coherencia, claridad y suficiencia del registro y sus soportes),</w:t>
      </w:r>
    </w:p>
    <w:p w14:paraId="15FA0F80" w14:textId="77777777"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w:t>
      </w:r>
      <w:proofErr w:type="spellStart"/>
      <w:r w:rsidRPr="00081048">
        <w:rPr>
          <w:rFonts w:ascii="Times New Roman" w:hAnsi="Times New Roman" w:cs="Times New Roman"/>
          <w:sz w:val="24"/>
          <w:szCs w:val="24"/>
        </w:rPr>
        <w:t>ii</w:t>
      </w:r>
      <w:proofErr w:type="spellEnd"/>
      <w:r w:rsidRPr="00081048">
        <w:rPr>
          <w:rFonts w:ascii="Times New Roman" w:hAnsi="Times New Roman" w:cs="Times New Roman"/>
          <w:sz w:val="24"/>
          <w:szCs w:val="24"/>
        </w:rPr>
        <w:t>) integridad (completitud del expediente publicado), y</w:t>
      </w:r>
    </w:p>
    <w:p w14:paraId="353166F6" w14:textId="77777777"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w:t>
      </w:r>
      <w:proofErr w:type="spellStart"/>
      <w:r w:rsidRPr="00081048">
        <w:rPr>
          <w:rFonts w:ascii="Times New Roman" w:hAnsi="Times New Roman" w:cs="Times New Roman"/>
          <w:sz w:val="24"/>
          <w:szCs w:val="24"/>
        </w:rPr>
        <w:t>iii</w:t>
      </w:r>
      <w:proofErr w:type="spellEnd"/>
      <w:r w:rsidRPr="00081048">
        <w:rPr>
          <w:rFonts w:ascii="Times New Roman" w:hAnsi="Times New Roman" w:cs="Times New Roman"/>
          <w:sz w:val="24"/>
          <w:szCs w:val="24"/>
        </w:rPr>
        <w:t>) oportunidad (publicación en tiempos y momentos útiles para el control).</w:t>
      </w:r>
    </w:p>
    <w:p w14:paraId="4347AD74" w14:textId="77777777"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Estas dimensiones explican por qué puede existir “publicidad formal” sin “publicidad útil”.</w:t>
      </w:r>
    </w:p>
    <w:p w14:paraId="44206526" w14:textId="77777777"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b/>
          <w:bCs/>
          <w:sz w:val="24"/>
          <w:szCs w:val="24"/>
        </w:rPr>
        <w:t>La insuficiente capacitación normativa y técnica es un factor explicativo central de las falencias.</w:t>
      </w:r>
      <w:r w:rsidRPr="00081048">
        <w:rPr>
          <w:rFonts w:ascii="Times New Roman" w:hAnsi="Times New Roman" w:cs="Times New Roman"/>
          <w:sz w:val="24"/>
          <w:szCs w:val="24"/>
        </w:rPr>
        <w:t xml:space="preserve"> La brecha aparece cuando el operador no domina: (i) el qué y cuándo publicar (componente normativo), y/o (</w:t>
      </w:r>
      <w:proofErr w:type="spellStart"/>
      <w:r w:rsidRPr="00081048">
        <w:rPr>
          <w:rFonts w:ascii="Times New Roman" w:hAnsi="Times New Roman" w:cs="Times New Roman"/>
          <w:sz w:val="24"/>
          <w:szCs w:val="24"/>
        </w:rPr>
        <w:t>ii</w:t>
      </w:r>
      <w:proofErr w:type="spellEnd"/>
      <w:r w:rsidRPr="00081048">
        <w:rPr>
          <w:rFonts w:ascii="Times New Roman" w:hAnsi="Times New Roman" w:cs="Times New Roman"/>
          <w:sz w:val="24"/>
          <w:szCs w:val="24"/>
        </w:rPr>
        <w:t>) el cómo registrar, clasificar, cargar y actualizar en la plataforma (componente técnico). La combinación de ambas brechas incrementa el riesgo de omisiones, inconsistencias y extemporaneidad.</w:t>
      </w:r>
    </w:p>
    <w:p w14:paraId="7239F1FE" w14:textId="77777777"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b/>
          <w:bCs/>
          <w:sz w:val="24"/>
          <w:szCs w:val="24"/>
        </w:rPr>
        <w:t>El problema es institucional y prevenible.</w:t>
      </w:r>
      <w:r w:rsidRPr="00081048">
        <w:rPr>
          <w:rFonts w:ascii="Times New Roman" w:hAnsi="Times New Roman" w:cs="Times New Roman"/>
          <w:sz w:val="24"/>
          <w:szCs w:val="24"/>
        </w:rPr>
        <w:t xml:space="preserve"> No se trata exclusivamente de conductas deliberadas, sino de capacidades, estandarización y control interno. En consecuencia, el fortalecimiento de competencias y procedimientos puede mejorar de forma directa la efectividad de la transparencia y la publicidad.</w:t>
      </w:r>
    </w:p>
    <w:p w14:paraId="340599BB" w14:textId="77777777" w:rsidR="00081048" w:rsidRPr="00081048" w:rsidRDefault="00081048" w:rsidP="00081048">
      <w:pPr>
        <w:spacing w:line="360" w:lineRule="auto"/>
        <w:jc w:val="both"/>
        <w:rPr>
          <w:rFonts w:ascii="Times New Roman" w:hAnsi="Times New Roman" w:cs="Times New Roman"/>
          <w:sz w:val="24"/>
          <w:szCs w:val="24"/>
        </w:rPr>
      </w:pPr>
    </w:p>
    <w:p w14:paraId="6BED1B3D" w14:textId="5F0CF312"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b/>
          <w:bCs/>
          <w:sz w:val="24"/>
          <w:szCs w:val="24"/>
        </w:rPr>
        <w:t>Un enfoque documental permite proponer soluciones aplicables de corto plazo.</w:t>
      </w:r>
      <w:r w:rsidRPr="00081048">
        <w:rPr>
          <w:rFonts w:ascii="Times New Roman" w:hAnsi="Times New Roman" w:cs="Times New Roman"/>
          <w:sz w:val="24"/>
          <w:szCs w:val="24"/>
        </w:rPr>
        <w:t xml:space="preserve"> A partir de normas y lineamientos oficiales es posible construir criterios mínimos de publicación, tipificar falencias y diseñar lineamientos de capacitación y estandarización sin necesidad de trabajo de campo, lo cual es coherente con una investigación de especialización.</w:t>
      </w:r>
    </w:p>
    <w:p w14:paraId="702CAF7D" w14:textId="77777777" w:rsidR="00081048" w:rsidRPr="00727A7F" w:rsidRDefault="00081048" w:rsidP="00081048">
      <w:pPr>
        <w:spacing w:line="360" w:lineRule="auto"/>
        <w:jc w:val="both"/>
        <w:rPr>
          <w:rFonts w:ascii="Times New Roman" w:hAnsi="Times New Roman" w:cs="Times New Roman"/>
          <w:b/>
          <w:bCs/>
          <w:i/>
          <w:iCs/>
          <w:sz w:val="24"/>
          <w:szCs w:val="24"/>
        </w:rPr>
      </w:pPr>
      <w:r w:rsidRPr="00727A7F">
        <w:rPr>
          <w:rFonts w:ascii="Times New Roman" w:hAnsi="Times New Roman" w:cs="Times New Roman"/>
          <w:b/>
          <w:bCs/>
          <w:i/>
          <w:iCs/>
          <w:sz w:val="24"/>
          <w:szCs w:val="24"/>
        </w:rPr>
        <w:t>Recomendaciones</w:t>
      </w:r>
    </w:p>
    <w:p w14:paraId="0AB18CC7" w14:textId="77777777"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lastRenderedPageBreak/>
        <w:t>Adoptar un “estándar mínimo de publicación” (</w:t>
      </w:r>
      <w:proofErr w:type="spellStart"/>
      <w:r w:rsidRPr="00081048">
        <w:rPr>
          <w:rFonts w:ascii="Times New Roman" w:hAnsi="Times New Roman" w:cs="Times New Roman"/>
          <w:sz w:val="24"/>
          <w:szCs w:val="24"/>
        </w:rPr>
        <w:t>checklist</w:t>
      </w:r>
      <w:proofErr w:type="spellEnd"/>
      <w:r w:rsidRPr="00081048">
        <w:rPr>
          <w:rFonts w:ascii="Times New Roman" w:hAnsi="Times New Roman" w:cs="Times New Roman"/>
          <w:sz w:val="24"/>
          <w:szCs w:val="24"/>
        </w:rPr>
        <w:t>) por etapa contractual, derivado de los Documentos del Proceso y de los actos exigibles, para asegurar integridad del expediente publicado.</w:t>
      </w:r>
    </w:p>
    <w:p w14:paraId="38A1A2C8" w14:textId="77777777"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Implementar un control interno simple de oportunidad, con alertas o revisión semanal, para verificar que la publicación se realice dentro de los términos aplicables y en el momento procesal pertinente.</w:t>
      </w:r>
    </w:p>
    <w:p w14:paraId="7B6857D1" w14:textId="77777777"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Crear un procedimiento interno de control de calidad informacional, previo o inmediato a la publicación, que valide coherencia básica (objeto, valor, fechas, anexos, acto/documento correspondiente, versión final) para mejorar la calidad del registro.</w:t>
      </w:r>
    </w:p>
    <w:p w14:paraId="6A90A7EC" w14:textId="48D1E1D6" w:rsidR="00081048" w:rsidRP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Definir roles y responsabilidades claras (quién publica, quién valida, quién corrige), con trazabilidad interna, para reducir errores por duplicidad, rotación o falta de empalme.</w:t>
      </w:r>
    </w:p>
    <w:p w14:paraId="36D1B279" w14:textId="5B0E78B7" w:rsidR="00081048" w:rsidRDefault="00081048" w:rsidP="00081048">
      <w:pPr>
        <w:spacing w:line="360" w:lineRule="auto"/>
        <w:jc w:val="both"/>
        <w:rPr>
          <w:rFonts w:ascii="Times New Roman" w:hAnsi="Times New Roman" w:cs="Times New Roman"/>
          <w:sz w:val="24"/>
          <w:szCs w:val="24"/>
        </w:rPr>
      </w:pPr>
      <w:r w:rsidRPr="00081048">
        <w:rPr>
          <w:rFonts w:ascii="Times New Roman" w:hAnsi="Times New Roman" w:cs="Times New Roman"/>
          <w:sz w:val="24"/>
          <w:szCs w:val="24"/>
        </w:rPr>
        <w:t>Orientar la gestión hacia transparencia verificable. El objetivo no debe ser “cumplir con publicar”, sino asegurar que lo publicado sea completo, coherente y oportuno, para que SECOP cumpla su función como herramienta real de control, rendición de cuentas y confianza pública.</w:t>
      </w:r>
    </w:p>
    <w:p w14:paraId="51F45C18" w14:textId="77777777" w:rsidR="00AB2548" w:rsidRDefault="00AB2548" w:rsidP="00727A7F">
      <w:pPr>
        <w:spacing w:line="360" w:lineRule="auto"/>
        <w:jc w:val="both"/>
        <w:rPr>
          <w:rFonts w:ascii="Times New Roman" w:hAnsi="Times New Roman" w:cs="Times New Roman"/>
          <w:b/>
          <w:bCs/>
          <w:i/>
          <w:iCs/>
          <w:sz w:val="24"/>
          <w:szCs w:val="24"/>
        </w:rPr>
      </w:pPr>
    </w:p>
    <w:p w14:paraId="450C6E6A" w14:textId="77777777" w:rsidR="00AB2548" w:rsidRDefault="00AB2548" w:rsidP="00727A7F">
      <w:pPr>
        <w:spacing w:line="360" w:lineRule="auto"/>
        <w:jc w:val="both"/>
        <w:rPr>
          <w:rFonts w:ascii="Times New Roman" w:hAnsi="Times New Roman" w:cs="Times New Roman"/>
          <w:b/>
          <w:bCs/>
          <w:i/>
          <w:iCs/>
          <w:sz w:val="24"/>
          <w:szCs w:val="24"/>
        </w:rPr>
      </w:pPr>
    </w:p>
    <w:p w14:paraId="068CEE59" w14:textId="77777777" w:rsidR="00AB2548" w:rsidRDefault="00727A7F" w:rsidP="00AB2548">
      <w:pPr>
        <w:spacing w:line="360" w:lineRule="auto"/>
        <w:jc w:val="both"/>
        <w:rPr>
          <w:rFonts w:ascii="Times New Roman" w:hAnsi="Times New Roman" w:cs="Times New Roman"/>
          <w:b/>
          <w:bCs/>
          <w:i/>
          <w:iCs/>
          <w:sz w:val="24"/>
          <w:szCs w:val="24"/>
        </w:rPr>
      </w:pPr>
      <w:r w:rsidRPr="00727A7F">
        <w:rPr>
          <w:rFonts w:ascii="Times New Roman" w:hAnsi="Times New Roman" w:cs="Times New Roman"/>
          <w:b/>
          <w:bCs/>
          <w:i/>
          <w:iCs/>
          <w:sz w:val="24"/>
          <w:szCs w:val="24"/>
        </w:rPr>
        <w:t xml:space="preserve">Referencias bibliográficas </w:t>
      </w:r>
    </w:p>
    <w:p w14:paraId="7AB1455C" w14:textId="4454DC1C" w:rsidR="00AB2548" w:rsidRPr="00AB2548" w:rsidRDefault="00AB2548" w:rsidP="00AB2548">
      <w:pPr>
        <w:spacing w:line="360" w:lineRule="auto"/>
        <w:jc w:val="both"/>
        <w:rPr>
          <w:rFonts w:ascii="Times New Roman" w:hAnsi="Times New Roman" w:cs="Times New Roman"/>
          <w:i/>
          <w:iCs/>
          <w:sz w:val="24"/>
          <w:szCs w:val="24"/>
          <w:lang w:val="en-US"/>
        </w:rPr>
      </w:pPr>
      <w:r w:rsidRPr="00AB2548">
        <w:rPr>
          <w:rFonts w:ascii="Times New Roman" w:hAnsi="Times New Roman" w:cs="Times New Roman"/>
          <w:i/>
          <w:iCs/>
          <w:sz w:val="24"/>
          <w:szCs w:val="24"/>
        </w:rPr>
        <w:t xml:space="preserve">Agencia Nacional de Contratación Pública–Colombia Compra Eficiente. </w:t>
      </w:r>
      <w:r w:rsidRPr="00AB2548">
        <w:rPr>
          <w:rFonts w:ascii="Times New Roman" w:hAnsi="Times New Roman" w:cs="Times New Roman"/>
          <w:i/>
          <w:iCs/>
          <w:sz w:val="24"/>
          <w:szCs w:val="24"/>
          <w:lang w:val="en-US"/>
        </w:rPr>
        <w:t>(s. f.). SECOP II. https://www.colombiacompra.gov.co/secop/secop-ii</w:t>
      </w:r>
    </w:p>
    <w:p w14:paraId="1D51C3D3" w14:textId="77777777" w:rsidR="00AB2548" w:rsidRPr="00AB2548" w:rsidRDefault="00AB2548" w:rsidP="00AB2548">
      <w:pPr>
        <w:spacing w:line="360" w:lineRule="auto"/>
        <w:jc w:val="both"/>
        <w:rPr>
          <w:rFonts w:ascii="Times New Roman" w:hAnsi="Times New Roman" w:cs="Times New Roman"/>
          <w:i/>
          <w:iCs/>
          <w:sz w:val="24"/>
          <w:szCs w:val="24"/>
        </w:rPr>
      </w:pPr>
      <w:r w:rsidRPr="00AB2548">
        <w:rPr>
          <w:rFonts w:ascii="Times New Roman" w:hAnsi="Times New Roman" w:cs="Times New Roman"/>
          <w:i/>
          <w:iCs/>
          <w:sz w:val="24"/>
          <w:szCs w:val="24"/>
        </w:rPr>
        <w:t>Agencia Nacional de Contratación Pública–Colombia Compra Eficiente. (2021). Guía SECOP II – Gestión contractual para entidades estatales (Código CCE-SEC-GI-13, versión 1, vigencia desde 08 de septiembre de 2021). https://www.colombiacompra.gov.co/wp-content/uploads/2024/10/cce-sec-gi-13eegestioncontractual08-09-2021.pdf</w:t>
      </w:r>
    </w:p>
    <w:p w14:paraId="6E276128" w14:textId="77777777" w:rsidR="00AB2548" w:rsidRPr="00AB2548" w:rsidRDefault="00AB2548" w:rsidP="00AB2548">
      <w:pPr>
        <w:spacing w:line="360" w:lineRule="auto"/>
        <w:jc w:val="both"/>
        <w:rPr>
          <w:rFonts w:ascii="Times New Roman" w:hAnsi="Times New Roman" w:cs="Times New Roman"/>
          <w:i/>
          <w:iCs/>
          <w:sz w:val="24"/>
          <w:szCs w:val="24"/>
        </w:rPr>
      </w:pPr>
      <w:r w:rsidRPr="00AB2548">
        <w:rPr>
          <w:rFonts w:ascii="Times New Roman" w:hAnsi="Times New Roman" w:cs="Times New Roman"/>
          <w:i/>
          <w:iCs/>
          <w:sz w:val="24"/>
          <w:szCs w:val="24"/>
        </w:rPr>
        <w:t>Agencia Nacional de Contratación Pública–Colombia Compra Eficiente. (2024). Concepto C-710 de 2024. https://relatoria.colombiacompra.gov.co/conceptos/c-710-de-2024/</w:t>
      </w:r>
    </w:p>
    <w:p w14:paraId="77C73270" w14:textId="77777777" w:rsidR="00AB2548" w:rsidRPr="00AB2548" w:rsidRDefault="00AB2548" w:rsidP="00AB2548">
      <w:pPr>
        <w:spacing w:line="360" w:lineRule="auto"/>
        <w:jc w:val="both"/>
        <w:rPr>
          <w:rFonts w:ascii="Times New Roman" w:hAnsi="Times New Roman" w:cs="Times New Roman"/>
          <w:i/>
          <w:iCs/>
          <w:sz w:val="24"/>
          <w:szCs w:val="24"/>
        </w:rPr>
      </w:pPr>
    </w:p>
    <w:p w14:paraId="2FE6FD15" w14:textId="77777777" w:rsidR="00AB2548" w:rsidRPr="00AB2548" w:rsidRDefault="00AB2548" w:rsidP="00AB2548">
      <w:pPr>
        <w:spacing w:line="360" w:lineRule="auto"/>
        <w:jc w:val="both"/>
        <w:rPr>
          <w:rFonts w:ascii="Times New Roman" w:hAnsi="Times New Roman" w:cs="Times New Roman"/>
          <w:i/>
          <w:iCs/>
          <w:sz w:val="24"/>
          <w:szCs w:val="24"/>
        </w:rPr>
      </w:pPr>
      <w:r w:rsidRPr="00AB2548">
        <w:rPr>
          <w:rFonts w:ascii="Times New Roman" w:hAnsi="Times New Roman" w:cs="Times New Roman"/>
          <w:i/>
          <w:iCs/>
          <w:sz w:val="24"/>
          <w:szCs w:val="24"/>
        </w:rPr>
        <w:lastRenderedPageBreak/>
        <w:t>Agencia Nacional de Contratación Pública–Colombia Compra Eficiente. (2025). Circular externa 003 de 2025: Uso correcto de la plataforma transaccional SECOP II para publicar los procesos de contratación. https://www.colombiacompra.gov.co/archivos/circular/circular-externa-003-de-2025</w:t>
      </w:r>
    </w:p>
    <w:p w14:paraId="3502B6E4" w14:textId="77777777" w:rsidR="00AB2548" w:rsidRPr="00AB2548" w:rsidRDefault="00AB2548" w:rsidP="00AB2548">
      <w:pPr>
        <w:spacing w:line="360" w:lineRule="auto"/>
        <w:jc w:val="both"/>
        <w:rPr>
          <w:rFonts w:ascii="Times New Roman" w:hAnsi="Times New Roman" w:cs="Times New Roman"/>
          <w:i/>
          <w:iCs/>
          <w:sz w:val="24"/>
          <w:szCs w:val="24"/>
        </w:rPr>
      </w:pPr>
      <w:r w:rsidRPr="00AB2548">
        <w:rPr>
          <w:rFonts w:ascii="Times New Roman" w:hAnsi="Times New Roman" w:cs="Times New Roman"/>
          <w:i/>
          <w:iCs/>
          <w:sz w:val="24"/>
          <w:szCs w:val="24"/>
        </w:rPr>
        <w:t>Agencia Nacional de Contratación Pública–Colombia Compra Eficiente. (2025). Concepto C-129 de 2025. https://relatoria.colombiacompra.gov.co/conceptos/c-129-de-2025/</w:t>
      </w:r>
    </w:p>
    <w:p w14:paraId="5ED91139" w14:textId="77777777" w:rsidR="00AB2548" w:rsidRPr="00AB2548" w:rsidRDefault="00AB2548" w:rsidP="00AB2548">
      <w:pPr>
        <w:spacing w:line="360" w:lineRule="auto"/>
        <w:jc w:val="both"/>
        <w:rPr>
          <w:rFonts w:ascii="Times New Roman" w:hAnsi="Times New Roman" w:cs="Times New Roman"/>
          <w:i/>
          <w:iCs/>
          <w:sz w:val="24"/>
          <w:szCs w:val="24"/>
        </w:rPr>
      </w:pPr>
      <w:r w:rsidRPr="00AB2548">
        <w:rPr>
          <w:rFonts w:ascii="Times New Roman" w:hAnsi="Times New Roman" w:cs="Times New Roman"/>
          <w:i/>
          <w:iCs/>
          <w:sz w:val="24"/>
          <w:szCs w:val="24"/>
        </w:rPr>
        <w:t>Agencia Nacional de Contratación Pública–Colombia Compra Eficiente. (2025). Concepto C-311 de 2025. https://relatoria.colombiacompra.gov.co/conceptos/c-311-de-2025</w:t>
      </w:r>
    </w:p>
    <w:p w14:paraId="0A9A586D" w14:textId="77777777" w:rsidR="00AB2548" w:rsidRPr="00AB2548" w:rsidRDefault="00AB2548" w:rsidP="00AB2548">
      <w:pPr>
        <w:spacing w:line="360" w:lineRule="auto"/>
        <w:jc w:val="both"/>
        <w:rPr>
          <w:rFonts w:ascii="Times New Roman" w:hAnsi="Times New Roman" w:cs="Times New Roman"/>
          <w:i/>
          <w:iCs/>
          <w:sz w:val="24"/>
          <w:szCs w:val="24"/>
        </w:rPr>
      </w:pPr>
      <w:r w:rsidRPr="00AB2548">
        <w:rPr>
          <w:rFonts w:ascii="Times New Roman" w:hAnsi="Times New Roman" w:cs="Times New Roman"/>
          <w:i/>
          <w:iCs/>
          <w:sz w:val="24"/>
          <w:szCs w:val="24"/>
        </w:rPr>
        <w:t>Colombia. Congreso de la República. (1993, 28 de octubre). Ley 80 de 1993, por la cual se expide el Estatuto General de Contratación de la Administración Pública. Gestor Normativo – Función Pública. https://www.funcionpublica.gov.co/eva/gestornormativo/norma.php?i=304</w:t>
      </w:r>
    </w:p>
    <w:p w14:paraId="34E7A73E" w14:textId="77777777" w:rsidR="00AB2548" w:rsidRPr="00AB2548" w:rsidRDefault="00AB2548" w:rsidP="00AB2548">
      <w:pPr>
        <w:spacing w:line="360" w:lineRule="auto"/>
        <w:jc w:val="both"/>
        <w:rPr>
          <w:rFonts w:ascii="Times New Roman" w:hAnsi="Times New Roman" w:cs="Times New Roman"/>
          <w:i/>
          <w:iCs/>
          <w:sz w:val="24"/>
          <w:szCs w:val="24"/>
        </w:rPr>
      </w:pPr>
      <w:r w:rsidRPr="00AB2548">
        <w:rPr>
          <w:rFonts w:ascii="Times New Roman" w:hAnsi="Times New Roman" w:cs="Times New Roman"/>
          <w:i/>
          <w:iCs/>
          <w:sz w:val="24"/>
          <w:szCs w:val="24"/>
        </w:rPr>
        <w:t>Colombia. Congreso de la República. (2014, 6 de marzo). Ley 1712 de 2014, por medio de la cual se crea la Ley de Transparencia y del Derecho de Acceso a la Información Pública Nacional. Gestor Normativo – Función Pública. https://www.funcionpublica.gov.co/eva/gestornormativo/norma.php?i=56882</w:t>
      </w:r>
    </w:p>
    <w:p w14:paraId="656E6BA9" w14:textId="77777777" w:rsidR="00AB2548" w:rsidRPr="00AB2548" w:rsidRDefault="00AB2548" w:rsidP="00AB2548">
      <w:pPr>
        <w:spacing w:line="360" w:lineRule="auto"/>
        <w:jc w:val="both"/>
        <w:rPr>
          <w:rFonts w:ascii="Times New Roman" w:hAnsi="Times New Roman" w:cs="Times New Roman"/>
          <w:i/>
          <w:iCs/>
          <w:sz w:val="24"/>
          <w:szCs w:val="24"/>
          <w:lang w:val="en-US"/>
        </w:rPr>
      </w:pPr>
      <w:r w:rsidRPr="00AB2548">
        <w:rPr>
          <w:rFonts w:ascii="Times New Roman" w:hAnsi="Times New Roman" w:cs="Times New Roman"/>
          <w:i/>
          <w:iCs/>
          <w:sz w:val="24"/>
          <w:szCs w:val="24"/>
        </w:rPr>
        <w:t xml:space="preserve">Colombia. Presidencia de la República. (2015, 26 de mayo). Decreto 1082 de 2015, por medio del cual se expide el Decreto Único Reglamentario del Sector Administrativo de Planeación Nacional. </w:t>
      </w:r>
      <w:r w:rsidRPr="00AB2548">
        <w:rPr>
          <w:rFonts w:ascii="Times New Roman" w:hAnsi="Times New Roman" w:cs="Times New Roman"/>
          <w:i/>
          <w:iCs/>
          <w:sz w:val="24"/>
          <w:szCs w:val="24"/>
          <w:lang w:val="en-US"/>
        </w:rPr>
        <w:t>SUIN-</w:t>
      </w:r>
      <w:proofErr w:type="spellStart"/>
      <w:r w:rsidRPr="00AB2548">
        <w:rPr>
          <w:rFonts w:ascii="Times New Roman" w:hAnsi="Times New Roman" w:cs="Times New Roman"/>
          <w:i/>
          <w:iCs/>
          <w:sz w:val="24"/>
          <w:szCs w:val="24"/>
          <w:lang w:val="en-US"/>
        </w:rPr>
        <w:t>Juriscol</w:t>
      </w:r>
      <w:proofErr w:type="spellEnd"/>
      <w:r w:rsidRPr="00AB2548">
        <w:rPr>
          <w:rFonts w:ascii="Times New Roman" w:hAnsi="Times New Roman" w:cs="Times New Roman"/>
          <w:i/>
          <w:iCs/>
          <w:sz w:val="24"/>
          <w:szCs w:val="24"/>
          <w:lang w:val="en-US"/>
        </w:rPr>
        <w:t>. https://www.suin-juriscol.gov.co/viewDocument.asp?ruta=Decretos%2F30019920</w:t>
      </w:r>
    </w:p>
    <w:p w14:paraId="59BA0302" w14:textId="669E3B08" w:rsidR="00727A7F" w:rsidRPr="00AB2548" w:rsidRDefault="00AB2548" w:rsidP="00AB2548">
      <w:pPr>
        <w:spacing w:line="360" w:lineRule="auto"/>
        <w:jc w:val="both"/>
        <w:rPr>
          <w:rFonts w:ascii="Times New Roman" w:hAnsi="Times New Roman" w:cs="Times New Roman"/>
          <w:sz w:val="24"/>
          <w:szCs w:val="24"/>
          <w:lang w:val="en-US"/>
        </w:rPr>
      </w:pPr>
      <w:proofErr w:type="spellStart"/>
      <w:r w:rsidRPr="00AB2548">
        <w:rPr>
          <w:rFonts w:ascii="Times New Roman" w:hAnsi="Times New Roman" w:cs="Times New Roman"/>
          <w:i/>
          <w:iCs/>
          <w:sz w:val="24"/>
          <w:szCs w:val="24"/>
          <w:lang w:val="en-US"/>
        </w:rPr>
        <w:t>Organisation</w:t>
      </w:r>
      <w:proofErr w:type="spellEnd"/>
      <w:r w:rsidRPr="00AB2548">
        <w:rPr>
          <w:rFonts w:ascii="Times New Roman" w:hAnsi="Times New Roman" w:cs="Times New Roman"/>
          <w:i/>
          <w:iCs/>
          <w:sz w:val="24"/>
          <w:szCs w:val="24"/>
          <w:lang w:val="en-US"/>
        </w:rPr>
        <w:t xml:space="preserve"> for Economic Co-operation and Development. (2016). Towards efficient public procurement in Colombia: Making the difference. OECD Publishing. </w:t>
      </w:r>
      <w:hyperlink r:id="rId4" w:history="1">
        <w:r w:rsidRPr="00AB2548">
          <w:rPr>
            <w:rStyle w:val="Hipervnculo"/>
            <w:rFonts w:ascii="Times New Roman" w:hAnsi="Times New Roman" w:cs="Times New Roman"/>
            <w:i/>
            <w:iCs/>
            <w:sz w:val="24"/>
            <w:szCs w:val="24"/>
            <w:lang w:val="en-US"/>
          </w:rPr>
          <w:t>https://www.oecd.org/content/dam/oecd/en/publications/reports/2016/04/towards-efficient-public-procurement-in-colombia_g1g649e2/9789264252103-en.pdf</w:t>
        </w:r>
      </w:hyperlink>
      <w:r w:rsidRPr="00AB2548">
        <w:rPr>
          <w:rFonts w:ascii="Times New Roman" w:hAnsi="Times New Roman" w:cs="Times New Roman"/>
          <w:i/>
          <w:iCs/>
          <w:sz w:val="24"/>
          <w:szCs w:val="24"/>
          <w:lang w:val="en-US"/>
        </w:rPr>
        <w:t xml:space="preserve"> </w:t>
      </w:r>
    </w:p>
    <w:sectPr w:rsidR="00727A7F" w:rsidRPr="00AB254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F9E"/>
    <w:rsid w:val="00081048"/>
    <w:rsid w:val="00106F58"/>
    <w:rsid w:val="00493845"/>
    <w:rsid w:val="00727A7F"/>
    <w:rsid w:val="00AB2548"/>
    <w:rsid w:val="00B72A02"/>
    <w:rsid w:val="00DC5242"/>
    <w:rsid w:val="00DE6F9E"/>
    <w:rsid w:val="00E76F23"/>
    <w:rsid w:val="00EF6F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6A5B2"/>
  <w15:chartTrackingRefBased/>
  <w15:docId w15:val="{EB6D58D8-C209-4D4E-81A6-0324D741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27A7F"/>
    <w:rPr>
      <w:color w:val="0563C1" w:themeColor="hyperlink"/>
      <w:u w:val="single"/>
    </w:rPr>
  </w:style>
  <w:style w:type="character" w:styleId="Mencinsinresolver">
    <w:name w:val="Unresolved Mention"/>
    <w:basedOn w:val="Fuentedeprrafopredeter"/>
    <w:uiPriority w:val="99"/>
    <w:semiHidden/>
    <w:unhideWhenUsed/>
    <w:rsid w:val="00727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ecd.org/content/dam/oecd/en/publications/reports/2016/04/towards-efficient-public-procurement-in-colombia_g1g649e2/9789264252103-en.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16</Pages>
  <Words>5215</Words>
  <Characters>28684</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Hernández Dager Hernández Dager</dc:creator>
  <cp:keywords/>
  <dc:description/>
  <cp:lastModifiedBy>Laura Hernández Dager Hernández Dager</cp:lastModifiedBy>
  <cp:revision>9</cp:revision>
  <dcterms:created xsi:type="dcterms:W3CDTF">2026-02-14T22:28:00Z</dcterms:created>
  <dcterms:modified xsi:type="dcterms:W3CDTF">2026-04-21T01:34:00Z</dcterms:modified>
</cp:coreProperties>
</file>