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C43E" w14:textId="3A03335D" w:rsidR="001733B2" w:rsidRDefault="007A5583" w:rsidP="007A5583">
      <w:pPr>
        <w:jc w:val="center"/>
        <w:rPr>
          <w:rFonts w:ascii="Arial" w:hAnsi="Arial" w:cs="Arial"/>
          <w:b/>
          <w:bCs/>
          <w:sz w:val="24"/>
          <w:szCs w:val="24"/>
        </w:rPr>
      </w:pPr>
      <w:r w:rsidRPr="007A5583">
        <w:rPr>
          <w:rFonts w:ascii="Arial" w:hAnsi="Arial" w:cs="Arial"/>
          <w:b/>
          <w:bCs/>
          <w:sz w:val="24"/>
          <w:szCs w:val="24"/>
        </w:rPr>
        <w:t>MANUALES DESACTUALIZADOS, CONTRATACIÓN VULNERABLE: RIESGOS DE CORRUPCIÓN Y DEBILITAMIENTO DE LA SELECCIÓN OBJETIVA EN LAS E</w:t>
      </w:r>
      <w:r w:rsidR="002E0D3A">
        <w:rPr>
          <w:rFonts w:ascii="Arial" w:hAnsi="Arial" w:cs="Arial"/>
          <w:b/>
          <w:bCs/>
          <w:sz w:val="24"/>
          <w:szCs w:val="24"/>
        </w:rPr>
        <w:t>MPRESAS SOCIALES DEL ESTADO (E.S.E.)</w:t>
      </w:r>
    </w:p>
    <w:p w14:paraId="5C9702B2" w14:textId="77777777" w:rsidR="002E0D3A" w:rsidRDefault="002E0D3A" w:rsidP="007A5583">
      <w:pPr>
        <w:jc w:val="center"/>
        <w:rPr>
          <w:rFonts w:ascii="Arial" w:hAnsi="Arial" w:cs="Arial"/>
          <w:b/>
          <w:bCs/>
          <w:sz w:val="24"/>
          <w:szCs w:val="24"/>
        </w:rPr>
      </w:pPr>
    </w:p>
    <w:p w14:paraId="032B2962" w14:textId="77777777" w:rsidR="002E0D3A" w:rsidRDefault="002E0D3A" w:rsidP="007A5583">
      <w:pPr>
        <w:jc w:val="center"/>
        <w:rPr>
          <w:rFonts w:ascii="Arial" w:hAnsi="Arial" w:cs="Arial"/>
          <w:b/>
          <w:bCs/>
          <w:sz w:val="24"/>
          <w:szCs w:val="24"/>
        </w:rPr>
      </w:pPr>
    </w:p>
    <w:p w14:paraId="77E261A8" w14:textId="1BD7E4BE" w:rsidR="002E0D3A" w:rsidRDefault="002E0D3A" w:rsidP="002E0D3A">
      <w:pPr>
        <w:jc w:val="right"/>
        <w:rPr>
          <w:rFonts w:ascii="Arial" w:hAnsi="Arial" w:cs="Arial"/>
          <w:b/>
          <w:bCs/>
          <w:sz w:val="24"/>
          <w:szCs w:val="24"/>
        </w:rPr>
      </w:pPr>
      <w:r>
        <w:rPr>
          <w:rFonts w:ascii="Arial" w:hAnsi="Arial" w:cs="Arial"/>
          <w:b/>
          <w:bCs/>
          <w:sz w:val="24"/>
          <w:szCs w:val="24"/>
        </w:rPr>
        <w:t>Por: Telma Álvarez Moraga</w:t>
      </w:r>
      <w:r>
        <w:rPr>
          <w:rStyle w:val="Refdenotaalpie"/>
          <w:rFonts w:ascii="Arial" w:hAnsi="Arial" w:cs="Arial"/>
          <w:b/>
          <w:bCs/>
          <w:sz w:val="24"/>
          <w:szCs w:val="24"/>
        </w:rPr>
        <w:footnoteReference w:id="1"/>
      </w:r>
    </w:p>
    <w:p w14:paraId="66E81DA2" w14:textId="185D3DA6" w:rsidR="002E0D3A" w:rsidRDefault="002E0D3A" w:rsidP="002E0D3A">
      <w:pPr>
        <w:jc w:val="right"/>
        <w:rPr>
          <w:rFonts w:ascii="Arial" w:hAnsi="Arial" w:cs="Arial"/>
          <w:b/>
          <w:bCs/>
          <w:sz w:val="24"/>
          <w:szCs w:val="24"/>
        </w:rPr>
      </w:pPr>
      <w:r>
        <w:rPr>
          <w:rFonts w:ascii="Arial" w:hAnsi="Arial" w:cs="Arial"/>
          <w:b/>
          <w:bCs/>
          <w:sz w:val="24"/>
          <w:szCs w:val="24"/>
        </w:rPr>
        <w:t>María Angélica Arnedo Cárdenas</w:t>
      </w:r>
      <w:r>
        <w:rPr>
          <w:rStyle w:val="Refdenotaalpie"/>
          <w:rFonts w:ascii="Arial" w:hAnsi="Arial" w:cs="Arial"/>
          <w:b/>
          <w:bCs/>
          <w:sz w:val="24"/>
          <w:szCs w:val="24"/>
        </w:rPr>
        <w:footnoteReference w:id="2"/>
      </w:r>
    </w:p>
    <w:p w14:paraId="4E4B9422" w14:textId="446F0419" w:rsidR="002E0D3A" w:rsidRDefault="002E0D3A" w:rsidP="002E0D3A">
      <w:pPr>
        <w:jc w:val="right"/>
        <w:rPr>
          <w:rFonts w:ascii="Arial" w:hAnsi="Arial" w:cs="Arial"/>
          <w:b/>
          <w:bCs/>
          <w:sz w:val="24"/>
          <w:szCs w:val="24"/>
        </w:rPr>
      </w:pPr>
      <w:r>
        <w:rPr>
          <w:rFonts w:ascii="Arial" w:hAnsi="Arial" w:cs="Arial"/>
          <w:b/>
          <w:bCs/>
          <w:sz w:val="24"/>
          <w:szCs w:val="24"/>
        </w:rPr>
        <w:t>Tutores:  Fania Peñaranda G. y Elio Montero R.</w:t>
      </w:r>
      <w:r>
        <w:rPr>
          <w:rStyle w:val="Refdenotaalpie"/>
          <w:rFonts w:ascii="Arial" w:hAnsi="Arial" w:cs="Arial"/>
          <w:b/>
          <w:bCs/>
          <w:sz w:val="24"/>
          <w:szCs w:val="24"/>
        </w:rPr>
        <w:footnoteReference w:id="3"/>
      </w:r>
    </w:p>
    <w:p w14:paraId="60D8B715" w14:textId="74F4937E" w:rsidR="000728DE" w:rsidRPr="000728DE" w:rsidRDefault="000728DE" w:rsidP="000728DE">
      <w:pPr>
        <w:rPr>
          <w:rFonts w:ascii="Arial" w:hAnsi="Arial" w:cs="Arial"/>
          <w:sz w:val="24"/>
          <w:szCs w:val="24"/>
        </w:rPr>
      </w:pPr>
    </w:p>
    <w:p w14:paraId="65CB3412" w14:textId="3F997493" w:rsidR="000728DE" w:rsidRPr="00CE1E33" w:rsidRDefault="000728DE" w:rsidP="00CE1E33">
      <w:pPr>
        <w:spacing w:line="360" w:lineRule="auto"/>
        <w:jc w:val="both"/>
        <w:rPr>
          <w:rFonts w:ascii="Arial" w:hAnsi="Arial" w:cs="Arial"/>
          <w:b/>
          <w:bCs/>
          <w:sz w:val="24"/>
          <w:szCs w:val="24"/>
        </w:rPr>
      </w:pPr>
    </w:p>
    <w:p w14:paraId="7D1A03AA" w14:textId="348B4022" w:rsidR="000728DE" w:rsidRPr="00CE1E33" w:rsidRDefault="000728DE" w:rsidP="00CE1E33">
      <w:pPr>
        <w:spacing w:line="360" w:lineRule="auto"/>
        <w:jc w:val="both"/>
        <w:rPr>
          <w:rFonts w:ascii="Arial" w:hAnsi="Arial" w:cs="Arial"/>
          <w:b/>
          <w:bCs/>
          <w:sz w:val="24"/>
          <w:szCs w:val="24"/>
        </w:rPr>
      </w:pPr>
      <w:r w:rsidRPr="00CE1E33">
        <w:rPr>
          <w:rFonts w:ascii="Arial" w:hAnsi="Arial" w:cs="Arial"/>
          <w:b/>
          <w:bCs/>
          <w:sz w:val="24"/>
          <w:szCs w:val="24"/>
        </w:rPr>
        <w:t>Resumen</w:t>
      </w:r>
    </w:p>
    <w:p w14:paraId="7E19DCC8" w14:textId="77777777" w:rsidR="000728DE" w:rsidRPr="00CE1E33" w:rsidRDefault="000728DE" w:rsidP="002E0D3A">
      <w:pPr>
        <w:spacing w:line="360" w:lineRule="auto"/>
        <w:ind w:firstLine="708"/>
        <w:jc w:val="both"/>
        <w:rPr>
          <w:rFonts w:ascii="Arial" w:hAnsi="Arial" w:cs="Arial"/>
          <w:sz w:val="24"/>
          <w:szCs w:val="24"/>
        </w:rPr>
      </w:pPr>
      <w:r w:rsidRPr="00CE1E33">
        <w:rPr>
          <w:rFonts w:ascii="Arial" w:hAnsi="Arial" w:cs="Arial"/>
          <w:sz w:val="24"/>
          <w:szCs w:val="24"/>
        </w:rPr>
        <w:t>Este artículo analiza cómo la desactualización de los manuales de contratación de las Empresas Sociales del Estado (ESE) incide en la configuración de riesgos de corrupción y en el debilitamiento de los principios de objetividad, selección objetiva y transparencia en los procesos de contratación estatal. Partiendo de la premisa de que los manuales de contratación no son instrumentos meramente formales, sino dispositivos de gobernanza interna que operacionalizan el marco normativo, el estudio adopta un enfoque cualitativo de carácter estrictamente documental. En ese sentido, se realiza un análisis hermenéutico–jurídico de normas y jurisprudencia aplicables, complementado con análisis de contenido de manuales de contratación de ESE seleccionadas, con el propósito de identificar vacíos, inconsistencias y desajustes frente a estándares vigentes de contratación pública, transparencia y gestión del riesgo.</w:t>
      </w:r>
    </w:p>
    <w:p w14:paraId="1815188A" w14:textId="77777777" w:rsidR="000728DE" w:rsidRPr="00CE1E33" w:rsidRDefault="000728DE" w:rsidP="002E0D3A">
      <w:pPr>
        <w:spacing w:line="360" w:lineRule="auto"/>
        <w:ind w:firstLine="708"/>
        <w:jc w:val="both"/>
        <w:rPr>
          <w:rFonts w:ascii="Arial" w:hAnsi="Arial" w:cs="Arial"/>
          <w:sz w:val="24"/>
          <w:szCs w:val="24"/>
        </w:rPr>
      </w:pPr>
      <w:r w:rsidRPr="00CE1E33">
        <w:rPr>
          <w:rFonts w:ascii="Arial" w:hAnsi="Arial" w:cs="Arial"/>
          <w:sz w:val="24"/>
          <w:szCs w:val="24"/>
        </w:rPr>
        <w:t xml:space="preserve">El desarrollo metodológico se apoya en matrices de análisis documental y de contraste normativo–procedimental, construidas a partir de categorías analíticas centrales: (i) actualización normativa y coherencia interna del manual; (ii) trazabilidad y publicidad de actuaciones; (iii) criterios de evaluación y selección; (iv) </w:t>
      </w:r>
      <w:r w:rsidRPr="00CE1E33">
        <w:rPr>
          <w:rFonts w:ascii="Arial" w:hAnsi="Arial" w:cs="Arial"/>
          <w:sz w:val="24"/>
          <w:szCs w:val="24"/>
        </w:rPr>
        <w:lastRenderedPageBreak/>
        <w:t>motivación de decisiones y control de discrecionalidad; y (v) controles y responsabilidades en la ejecución y supervisión contractual. Los resultados esperados muestran que la desactualización de manuales puede favorecer zonas de ambigüedad procedimental y discrecionalidad no controlada, debilitando la capacidad institucional para garantizar decisiones verificables, comparables y motivadas, lo que incrementa la exposición a riesgos de corrupción y afecta la efectividad práctica de la selección objetiva y la transparencia.</w:t>
      </w:r>
    </w:p>
    <w:p w14:paraId="2F3FE3F0" w14:textId="0C9678D8" w:rsidR="000728DE" w:rsidRPr="00CE1E33" w:rsidRDefault="000728DE" w:rsidP="002E0D3A">
      <w:pPr>
        <w:spacing w:line="360" w:lineRule="auto"/>
        <w:ind w:firstLine="708"/>
        <w:jc w:val="both"/>
        <w:rPr>
          <w:rFonts w:ascii="Arial" w:hAnsi="Arial" w:cs="Arial"/>
          <w:sz w:val="24"/>
          <w:szCs w:val="24"/>
        </w:rPr>
      </w:pPr>
      <w:r w:rsidRPr="00CE1E33">
        <w:rPr>
          <w:rFonts w:ascii="Arial" w:hAnsi="Arial" w:cs="Arial"/>
          <w:sz w:val="24"/>
          <w:szCs w:val="24"/>
        </w:rPr>
        <w:t>Finalmente, el artículo propone lineamientos de actualización y fortalecimiento de manuales de contratación orientados a la prevención de riesgos, la estandarización de procedimientos y la mejora de la rendición de cuentas, destacando la necesidad de asumir la actualización documental como un componente estructural de integridad institucional. Se concluye que el fortalecimiento de los manuales de contratación en las ESE constituye una medida preventiva con potencial impacto en la calidad de la gestión contractual y en la confianza pública, especialmente en un sector tan sensible como el de la salud.</w:t>
      </w:r>
    </w:p>
    <w:p w14:paraId="71D15508" w14:textId="33AB4C2F" w:rsidR="009D5862" w:rsidRPr="00CE1E33" w:rsidRDefault="009D5862" w:rsidP="00CE1E33">
      <w:pPr>
        <w:spacing w:line="360" w:lineRule="auto"/>
        <w:jc w:val="both"/>
        <w:rPr>
          <w:rFonts w:ascii="Arial" w:hAnsi="Arial" w:cs="Arial"/>
          <w:b/>
          <w:bCs/>
          <w:sz w:val="24"/>
          <w:szCs w:val="24"/>
        </w:rPr>
      </w:pPr>
      <w:r w:rsidRPr="00CE1E33">
        <w:rPr>
          <w:rFonts w:ascii="Arial" w:hAnsi="Arial" w:cs="Arial"/>
          <w:b/>
          <w:bCs/>
          <w:sz w:val="24"/>
          <w:szCs w:val="24"/>
        </w:rPr>
        <w:t xml:space="preserve">Palabras clave </w:t>
      </w:r>
    </w:p>
    <w:p w14:paraId="03A6C021" w14:textId="79B03CCC" w:rsidR="000728DE" w:rsidRPr="00CE1E33" w:rsidRDefault="009D5862" w:rsidP="00CE1E33">
      <w:pPr>
        <w:spacing w:line="360" w:lineRule="auto"/>
        <w:jc w:val="both"/>
        <w:rPr>
          <w:rFonts w:ascii="Arial" w:hAnsi="Arial" w:cs="Arial"/>
          <w:sz w:val="24"/>
          <w:szCs w:val="24"/>
        </w:rPr>
      </w:pPr>
      <w:r w:rsidRPr="00CE1E33">
        <w:rPr>
          <w:rFonts w:ascii="Arial" w:hAnsi="Arial" w:cs="Arial"/>
          <w:sz w:val="24"/>
          <w:szCs w:val="24"/>
        </w:rPr>
        <w:t>Contratación estatal; Empresas Sociales del Estado; manual de contratación; riesgos de corrupción; selección objetiva; transparencia.</w:t>
      </w:r>
    </w:p>
    <w:p w14:paraId="79195757" w14:textId="5C38A0E9" w:rsidR="009D5862" w:rsidRPr="00CE1E33" w:rsidRDefault="009D5862" w:rsidP="00CE1E33">
      <w:pPr>
        <w:spacing w:line="360" w:lineRule="auto"/>
        <w:jc w:val="both"/>
        <w:rPr>
          <w:rFonts w:ascii="Arial" w:hAnsi="Arial" w:cs="Arial"/>
          <w:b/>
          <w:bCs/>
          <w:sz w:val="24"/>
          <w:szCs w:val="24"/>
        </w:rPr>
      </w:pPr>
    </w:p>
    <w:p w14:paraId="5363385B" w14:textId="77777777" w:rsidR="009D5862" w:rsidRPr="00CE1E33" w:rsidRDefault="009D5862" w:rsidP="00CE1E33">
      <w:pPr>
        <w:spacing w:line="360" w:lineRule="auto"/>
        <w:jc w:val="both"/>
        <w:rPr>
          <w:rFonts w:ascii="Arial" w:hAnsi="Arial" w:cs="Arial"/>
          <w:b/>
          <w:bCs/>
          <w:sz w:val="24"/>
          <w:szCs w:val="24"/>
          <w:lang w:val="en-US"/>
        </w:rPr>
      </w:pPr>
      <w:r w:rsidRPr="00CE1E33">
        <w:rPr>
          <w:rFonts w:ascii="Arial" w:hAnsi="Arial" w:cs="Arial"/>
          <w:b/>
          <w:bCs/>
          <w:sz w:val="24"/>
          <w:szCs w:val="24"/>
          <w:lang w:val="en-US"/>
        </w:rPr>
        <w:t>Abstract.</w:t>
      </w:r>
    </w:p>
    <w:p w14:paraId="61E2DF55" w14:textId="77777777" w:rsidR="009D5862" w:rsidRPr="00CE1E33" w:rsidRDefault="009D5862" w:rsidP="00CE1E33">
      <w:pPr>
        <w:spacing w:line="360" w:lineRule="auto"/>
        <w:jc w:val="both"/>
        <w:rPr>
          <w:rFonts w:ascii="Arial" w:hAnsi="Arial" w:cs="Arial"/>
          <w:sz w:val="24"/>
          <w:szCs w:val="24"/>
          <w:lang w:val="en-US"/>
        </w:rPr>
      </w:pPr>
      <w:r w:rsidRPr="00CE1E33">
        <w:rPr>
          <w:rFonts w:ascii="Arial" w:hAnsi="Arial" w:cs="Arial"/>
          <w:sz w:val="24"/>
          <w:szCs w:val="24"/>
          <w:lang w:val="en-US"/>
        </w:rPr>
        <w:t xml:space="preserve">This article analyzes how outdated procurement manuals in State Social Enterprises (ESE) contribute to corruption risks and weaken the principles of objectivity, fair selection, and transparency in public procurement processes. Based on the premise that procurement manuals are not merely formal instruments but rather internal governance mechanisms that operationalize the regulatory framework, the study adopts a strictly documentary, qualitative approach. In this sense, a hermeneutic-legal analysis of applicable regulations and jurisprudence is conducted, complemented by a content analysis of selected ESE procurement manuals, with </w:t>
      </w:r>
      <w:r w:rsidRPr="00CE1E33">
        <w:rPr>
          <w:rFonts w:ascii="Arial" w:hAnsi="Arial" w:cs="Arial"/>
          <w:sz w:val="24"/>
          <w:szCs w:val="24"/>
          <w:lang w:val="en-US"/>
        </w:rPr>
        <w:lastRenderedPageBreak/>
        <w:t>the aim of identifying gaps, inconsistencies, and discrepancies with respect to current standards of public procurement, transparency, and risk management.</w:t>
      </w:r>
    </w:p>
    <w:p w14:paraId="7AA437B4" w14:textId="77777777" w:rsidR="009D5862" w:rsidRPr="00CE1E33" w:rsidRDefault="009D5862" w:rsidP="00CE1E33">
      <w:pPr>
        <w:spacing w:line="360" w:lineRule="auto"/>
        <w:jc w:val="both"/>
        <w:rPr>
          <w:rFonts w:ascii="Arial" w:hAnsi="Arial" w:cs="Arial"/>
          <w:sz w:val="24"/>
          <w:szCs w:val="24"/>
          <w:lang w:val="en-US"/>
        </w:rPr>
      </w:pPr>
      <w:r w:rsidRPr="00CE1E33">
        <w:rPr>
          <w:rFonts w:ascii="Arial" w:hAnsi="Arial" w:cs="Arial"/>
          <w:sz w:val="24"/>
          <w:szCs w:val="24"/>
          <w:lang w:val="en-US"/>
        </w:rPr>
        <w:t>The methodological approach relies on matrices for documentary analysis and normative-procedural comparison, constructed from central analytical categories: (i) regulatory updating and internal coherence of the manual; (ii) traceability and publicity of actions; (iii) evaluation and selection criteria; (iv) decision-making rationale and discretionary control; and (v) controls and responsibilities in contract execution and supervision. The expected results show that outdated manuals can foster areas of procedural ambiguity and uncontrolled discretion, weakening the institutional capacity to guarantee verifiable, comparable, and well-reasoned decisions. This increases exposure to corruption risks and affects the practical effectiveness of objective selection and transparency.</w:t>
      </w:r>
    </w:p>
    <w:p w14:paraId="75325F1B" w14:textId="77777777" w:rsidR="009D5862" w:rsidRPr="00CE1E33" w:rsidRDefault="009D5862" w:rsidP="00CE1E33">
      <w:pPr>
        <w:spacing w:line="360" w:lineRule="auto"/>
        <w:jc w:val="both"/>
        <w:rPr>
          <w:rFonts w:ascii="Arial" w:hAnsi="Arial" w:cs="Arial"/>
          <w:sz w:val="24"/>
          <w:szCs w:val="24"/>
          <w:lang w:val="en-US"/>
        </w:rPr>
      </w:pPr>
      <w:r w:rsidRPr="00CE1E33">
        <w:rPr>
          <w:rFonts w:ascii="Arial" w:hAnsi="Arial" w:cs="Arial"/>
          <w:sz w:val="24"/>
          <w:szCs w:val="24"/>
          <w:lang w:val="en-US"/>
        </w:rPr>
        <w:t>Finally, the article proposes guidelines for updating and strengthening procurement manuals aimed at risk prevention, standardizing procedures, and improving accountability. It emphasizes the need to adopt document updating as a structural component of institutional integrity. The article concludes that strengthening procurement manuals in State Social Enterprises (ESE) is a preventive measure with a potential impact on the quality of contract management and public trust, especially in a sector as sensitive as healthcare.</w:t>
      </w:r>
    </w:p>
    <w:p w14:paraId="28777CF4" w14:textId="77777777" w:rsidR="009D5862" w:rsidRPr="00CE1E33" w:rsidRDefault="009D5862" w:rsidP="00CE1E33">
      <w:pPr>
        <w:spacing w:line="360" w:lineRule="auto"/>
        <w:jc w:val="both"/>
        <w:rPr>
          <w:rFonts w:ascii="Arial" w:hAnsi="Arial" w:cs="Arial"/>
          <w:b/>
          <w:bCs/>
          <w:sz w:val="24"/>
          <w:szCs w:val="24"/>
          <w:lang w:val="en-US"/>
        </w:rPr>
      </w:pPr>
    </w:p>
    <w:p w14:paraId="0381F1AD" w14:textId="52421D52" w:rsidR="009D5862" w:rsidRPr="00CE1E33" w:rsidRDefault="009D5862" w:rsidP="00CE1E33">
      <w:pPr>
        <w:spacing w:line="360" w:lineRule="auto"/>
        <w:jc w:val="both"/>
        <w:rPr>
          <w:rFonts w:ascii="Arial" w:hAnsi="Arial" w:cs="Arial"/>
          <w:sz w:val="24"/>
          <w:szCs w:val="24"/>
          <w:lang w:val="en-US"/>
        </w:rPr>
      </w:pPr>
      <w:r w:rsidRPr="00CE1E33">
        <w:rPr>
          <w:rFonts w:ascii="Arial" w:hAnsi="Arial" w:cs="Arial"/>
          <w:b/>
          <w:bCs/>
          <w:sz w:val="24"/>
          <w:szCs w:val="24"/>
          <w:lang w:val="en-US"/>
        </w:rPr>
        <w:t>Keywords:</w:t>
      </w:r>
      <w:r w:rsidRPr="00CE1E33">
        <w:rPr>
          <w:rFonts w:ascii="Arial" w:hAnsi="Arial" w:cs="Arial"/>
          <w:sz w:val="24"/>
          <w:szCs w:val="24"/>
          <w:lang w:val="en-US"/>
        </w:rPr>
        <w:t xml:space="preserve"> Public procurement; State Social Enterprises; procurement manual; corruption risks; objective selection; transparency.</w:t>
      </w:r>
    </w:p>
    <w:p w14:paraId="4D6BB193" w14:textId="7DA2019E" w:rsidR="009D5862" w:rsidRPr="00CE1E33" w:rsidRDefault="009D5862" w:rsidP="00CE1E33">
      <w:pPr>
        <w:spacing w:line="360" w:lineRule="auto"/>
        <w:jc w:val="both"/>
        <w:rPr>
          <w:rFonts w:ascii="Arial" w:hAnsi="Arial" w:cs="Arial"/>
          <w:b/>
          <w:bCs/>
          <w:sz w:val="24"/>
          <w:szCs w:val="24"/>
          <w:lang w:val="en-US"/>
        </w:rPr>
      </w:pPr>
    </w:p>
    <w:p w14:paraId="683CA26D" w14:textId="77777777" w:rsidR="002E0D3A" w:rsidRDefault="002E0D3A">
      <w:pPr>
        <w:rPr>
          <w:rFonts w:ascii="Arial" w:hAnsi="Arial" w:cs="Arial"/>
          <w:b/>
          <w:bCs/>
          <w:sz w:val="24"/>
          <w:szCs w:val="24"/>
          <w:lang w:val="en-US"/>
        </w:rPr>
      </w:pPr>
      <w:r>
        <w:rPr>
          <w:rFonts w:ascii="Arial" w:hAnsi="Arial" w:cs="Arial"/>
          <w:b/>
          <w:bCs/>
          <w:sz w:val="24"/>
          <w:szCs w:val="24"/>
          <w:lang w:val="en-US"/>
        </w:rPr>
        <w:br w:type="page"/>
      </w:r>
    </w:p>
    <w:p w14:paraId="45A15FEF" w14:textId="77777777" w:rsidR="002E0D3A" w:rsidRDefault="002E0D3A" w:rsidP="00CE1E33">
      <w:pPr>
        <w:spacing w:line="360" w:lineRule="auto"/>
        <w:jc w:val="both"/>
        <w:rPr>
          <w:rFonts w:ascii="Arial" w:hAnsi="Arial" w:cs="Arial"/>
          <w:b/>
          <w:bCs/>
          <w:sz w:val="24"/>
          <w:szCs w:val="24"/>
          <w:lang w:val="en-US"/>
        </w:rPr>
      </w:pPr>
    </w:p>
    <w:p w14:paraId="034AEBB2" w14:textId="77777777" w:rsidR="002E0D3A" w:rsidRDefault="002E0D3A" w:rsidP="002E0D3A">
      <w:pPr>
        <w:spacing w:line="360" w:lineRule="auto"/>
        <w:jc w:val="center"/>
        <w:rPr>
          <w:rFonts w:ascii="Arial" w:hAnsi="Arial" w:cs="Arial"/>
          <w:b/>
          <w:bCs/>
          <w:sz w:val="24"/>
          <w:szCs w:val="24"/>
          <w:lang w:val="en-US"/>
        </w:rPr>
      </w:pPr>
    </w:p>
    <w:p w14:paraId="4B2511F2" w14:textId="643FEBEE" w:rsidR="008459C7" w:rsidRPr="00CE1E33" w:rsidRDefault="008459C7" w:rsidP="002E0D3A">
      <w:pPr>
        <w:spacing w:line="360" w:lineRule="auto"/>
        <w:jc w:val="center"/>
        <w:rPr>
          <w:rFonts w:ascii="Arial" w:hAnsi="Arial" w:cs="Arial"/>
          <w:b/>
          <w:bCs/>
          <w:sz w:val="24"/>
          <w:szCs w:val="24"/>
          <w:lang w:val="en-US"/>
        </w:rPr>
      </w:pPr>
      <w:proofErr w:type="spellStart"/>
      <w:r w:rsidRPr="00CE1E33">
        <w:rPr>
          <w:rFonts w:ascii="Arial" w:hAnsi="Arial" w:cs="Arial"/>
          <w:b/>
          <w:bCs/>
          <w:sz w:val="24"/>
          <w:szCs w:val="24"/>
          <w:lang w:val="en-US"/>
        </w:rPr>
        <w:t>Introducción</w:t>
      </w:r>
      <w:proofErr w:type="spellEnd"/>
    </w:p>
    <w:p w14:paraId="719BCF93" w14:textId="77777777" w:rsidR="002E0D3A" w:rsidRDefault="002E0D3A" w:rsidP="00CE1E33">
      <w:pPr>
        <w:spacing w:line="360" w:lineRule="auto"/>
        <w:jc w:val="both"/>
        <w:rPr>
          <w:rFonts w:ascii="Arial" w:hAnsi="Arial" w:cs="Arial"/>
          <w:sz w:val="24"/>
          <w:szCs w:val="24"/>
        </w:rPr>
      </w:pPr>
    </w:p>
    <w:p w14:paraId="6F28B1B0" w14:textId="6A56AA1E"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El presente artículo constituye un producto académico derivado de un proyecto de investigación de nivel de posgrado, orientado a examinar un factor institucional que, aunque frecuente en la práctica administrativa, suele abordarse de manera marginal en los debates sobre integridad pública: la desactualización de los manuales de contratación de las Empresas Sociales del Estado (ESE). Lejos de tratarse de un asunto meramente formal o documental, la actualización (o falta de ella) de estos instrumentos internos se relaciona con la manera en que las entidades operacionalizan los principios que rigen la contratación estatal y con la capacidad institucional para prevenir escenarios de opacidad, discrecionalidad y desviación del interés general.</w:t>
      </w:r>
    </w:p>
    <w:p w14:paraId="0735916C" w14:textId="77777777" w:rsidR="008459C7" w:rsidRPr="00CE1E33" w:rsidRDefault="008459C7" w:rsidP="00CE1E33">
      <w:pPr>
        <w:spacing w:line="360" w:lineRule="auto"/>
        <w:jc w:val="both"/>
        <w:rPr>
          <w:rFonts w:ascii="Arial" w:hAnsi="Arial" w:cs="Arial"/>
          <w:sz w:val="24"/>
          <w:szCs w:val="24"/>
        </w:rPr>
      </w:pPr>
    </w:p>
    <w:p w14:paraId="2D187FAD" w14:textId="77777777"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La contratación pública, como expresión de la función administrativa, cumple un rol estratégico en la satisfacción de necesidades colectivas y en la garantía de derechos, particularmente cuando se trata de entidades que prestan servicios esenciales. En ese sentido, las ESE ocupan un lugar destacado dentro del aparato estatal, debido a su responsabilidad en la prestación del servicio público de salud y a la gestión de recursos públicos destinados a asegurar continuidad, oportunidad y calidad en la atención. Por ello, sus procesos contractuales deben desarrollarse bajo estándares de estricta juridicidad y control, en coherencia con los principios de transparencia, selección objetiva, responsabilidad, planeación y economía, entre otros. Sin embargo, la realidad administrativa evidencia tensiones persistentes entre el marco normativo y la práctica institucional, especialmente cuando los instrumentos internos que orientan la gestión contractual no se actualizan al ritmo de los cambios normativos, jurisprudenciales, tecnológicos y de política pública.</w:t>
      </w:r>
    </w:p>
    <w:p w14:paraId="1FE6E678" w14:textId="77777777" w:rsidR="008459C7" w:rsidRPr="00CE1E33" w:rsidRDefault="008459C7" w:rsidP="00CE1E33">
      <w:pPr>
        <w:spacing w:line="360" w:lineRule="auto"/>
        <w:jc w:val="both"/>
        <w:rPr>
          <w:rFonts w:ascii="Arial" w:hAnsi="Arial" w:cs="Arial"/>
          <w:sz w:val="24"/>
          <w:szCs w:val="24"/>
        </w:rPr>
      </w:pPr>
    </w:p>
    <w:p w14:paraId="3B24B112" w14:textId="77777777" w:rsid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lastRenderedPageBreak/>
        <w:t>En este escenario, los manuales de contratación se entienden como piezas centrales de gobernanza interna: delimitan competencias, establecen rutas procedimentales, fijan criterios operativos, orientan la planeación y definen exigencias de trazabilidad y control. En términos funcionales, estos manuales permiten traducir el deber abstracto de aplicar principios en reglas concretas para tomar decisiones. De allí que su desactualización pueda producir efectos materiales: introduce vacíos o inconsistencias, amplía márgenes de discrecionalidad, debilita la comparabilidad de ofertas, dificulta la motivación de decisiones y limita la trazabilidad de actuaciones.</w:t>
      </w:r>
    </w:p>
    <w:p w14:paraId="55863A23" w14:textId="77777777" w:rsidR="002E0D3A" w:rsidRDefault="002E0D3A" w:rsidP="002E0D3A">
      <w:pPr>
        <w:spacing w:line="360" w:lineRule="auto"/>
        <w:ind w:firstLine="708"/>
        <w:jc w:val="both"/>
        <w:rPr>
          <w:rFonts w:ascii="Arial" w:hAnsi="Arial" w:cs="Arial"/>
          <w:sz w:val="24"/>
          <w:szCs w:val="24"/>
        </w:rPr>
      </w:pPr>
    </w:p>
    <w:p w14:paraId="78243C2B" w14:textId="19C92B13"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En consecuencia, puede constituirse en un factor institucional que incremente la exposición a riesgos de corrupción y que contribuya al debilitamiento de principios esenciales como la objetividad, la selección objetiva y la transparencia.</w:t>
      </w:r>
    </w:p>
    <w:p w14:paraId="2A7FD378" w14:textId="511DB088" w:rsidR="008459C7" w:rsidRPr="00CE1E33" w:rsidRDefault="008459C7" w:rsidP="00CE1E33">
      <w:pPr>
        <w:spacing w:line="360" w:lineRule="auto"/>
        <w:jc w:val="both"/>
        <w:rPr>
          <w:rFonts w:ascii="Arial" w:hAnsi="Arial" w:cs="Arial"/>
          <w:sz w:val="24"/>
          <w:szCs w:val="24"/>
        </w:rPr>
      </w:pPr>
      <w:r w:rsidRPr="00CE1E33">
        <w:rPr>
          <w:rFonts w:ascii="Arial" w:hAnsi="Arial" w:cs="Arial"/>
          <w:sz w:val="24"/>
          <w:szCs w:val="24"/>
        </w:rPr>
        <w:t>Este artículo se inscribe, por tanto, en una perspectiva analítica que privilegia la comprensión de la corrupción no solo como un hecho consumado o como la suma de conductas individuales reprochables, sino como un fenómeno que se facilita cuando existen condiciones institucionales de vulnerabilidad. La desactualización del manual de contratación se asume aquí como una de esas condiciones: una falla de diseño o mantenimiento institucional capaz de erosionar o, en términos más precisos, debilitar la efectividad de los principios de la contratación estatal. En el caso de las ESE, dicha vulnerabilidad adquiere mayor gravedad por el impacto directo que la contratación tiene en la prestación del servicio de salud y en la administración de recursos públicos con finalidad social prioritaria.</w:t>
      </w:r>
    </w:p>
    <w:p w14:paraId="28C1B57F" w14:textId="77777777" w:rsidR="002E0D3A" w:rsidRDefault="002E0D3A" w:rsidP="00CE1E33">
      <w:pPr>
        <w:spacing w:line="360" w:lineRule="auto"/>
        <w:jc w:val="both"/>
        <w:rPr>
          <w:rFonts w:ascii="Arial" w:hAnsi="Arial" w:cs="Arial"/>
          <w:sz w:val="24"/>
          <w:szCs w:val="24"/>
        </w:rPr>
      </w:pPr>
    </w:p>
    <w:p w14:paraId="32BF23BF" w14:textId="19714070"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 xml:space="preserve">El proyecto de investigación del cual se deriva este artículo se orienta por una pregunta problema que estructura el análisis y define el alcance del trabajo. En consecuencia, la pregunta que guía el proyecto y, por tanto, el desarrollo del presente artículo es la siguiente: ¿Cómo incide la desactualización de los manuales de contratación de las Empresas Sociales del Estado (ESE) en la configuración de </w:t>
      </w:r>
      <w:r w:rsidRPr="00CE1E33">
        <w:rPr>
          <w:rFonts w:ascii="Arial" w:hAnsi="Arial" w:cs="Arial"/>
          <w:sz w:val="24"/>
          <w:szCs w:val="24"/>
        </w:rPr>
        <w:lastRenderedPageBreak/>
        <w:t>riesgos de corrupción y en el debilitamiento de los principios de objetividad, selección objetiva y transparencia en los procesos de contratación estatal? Esta pregunta introduce dos elementos centrales: (i) una variable institucional concreta la desactualización del manual y (ii) un conjunto de efectos jurídicamente relevantes riesgos de corrupción y debilitamiento de principios que se expresan en el funcionamiento real de los procesos contractuales.</w:t>
      </w:r>
    </w:p>
    <w:p w14:paraId="339E4BE4" w14:textId="1105E6D7"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En coherencia con ello, el artículo busca aportar a la discusión académica y jurídica sobre contratación estatal e integridad pública desde un ángulo frecuentemente subestimado: el papel de los instrumentos internos en la eficacia de los principios. En lugar de concentrarse en describir casos particulares o eventos de corrupción ya materializados, el análisis se enfoca en el diseño institucional preventivo, examinando cómo la calidad, coherencia y actualización de los manuales puede operar como barrera o como grieta frente a la discrecionalidad indebida y la opacidad administrativa. Este enfoque resulta pertinente para el sector salud, donde las decisiones contractuales suelen estar sometidas a presiones operativas y a necesidades urgentes, y donde el fortalecimiento de reglas internas claras se convierte en condición para preservar la legitimidad y la confianza pública.</w:t>
      </w:r>
    </w:p>
    <w:p w14:paraId="4B6D177B" w14:textId="766A4A72"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Metodológicamente, el artículo responde a un diseño estrictamente documental, basado en la revisión y análisis hermenéutico jurídico del marco normativo y jurisprudencial aplicable, complementado con análisis de contenido de manuales de contratación de ESE seleccionadas y guías técnicas del sistema de compra pública. Esta aproximación permite construir un contraste entre el estándar exigido por el ordenamiento jurídico y las reglas operativas previstas en los instrumentos internos, identificando vacíos e inconsistencias que pueden afectar la objetividad, la selección objetiva y la transparencia.</w:t>
      </w:r>
    </w:p>
    <w:p w14:paraId="1AA70870" w14:textId="66B6F717" w:rsidR="008459C7" w:rsidRPr="00CE1E33" w:rsidRDefault="008459C7" w:rsidP="002E0D3A">
      <w:pPr>
        <w:spacing w:line="360" w:lineRule="auto"/>
        <w:ind w:firstLine="708"/>
        <w:jc w:val="both"/>
        <w:rPr>
          <w:rFonts w:ascii="Arial" w:hAnsi="Arial" w:cs="Arial"/>
          <w:sz w:val="24"/>
          <w:szCs w:val="24"/>
        </w:rPr>
      </w:pPr>
      <w:r w:rsidRPr="00CE1E33">
        <w:rPr>
          <w:rFonts w:ascii="Arial" w:hAnsi="Arial" w:cs="Arial"/>
          <w:sz w:val="24"/>
          <w:szCs w:val="24"/>
        </w:rPr>
        <w:t xml:space="preserve">En términos de estructura, el artículo presenta en primer lugar el marco conceptual y teórico que sustenta la investigación; seguidamente expone la ruta metodológica documental y las categorías de análisis; luego desarrolla el análisis de hallazgos sobre desactualización y su incidencia en riesgos y principios; y finalmente propone lineamientos de actualización del manual como medida de </w:t>
      </w:r>
      <w:r w:rsidRPr="00CE1E33">
        <w:rPr>
          <w:rFonts w:ascii="Arial" w:hAnsi="Arial" w:cs="Arial"/>
          <w:sz w:val="24"/>
          <w:szCs w:val="24"/>
        </w:rPr>
        <w:lastRenderedPageBreak/>
        <w:t>fortalecimiento institucional y prevención de riesgos. Con ello, se espera contribuir a la comprensión de la contratación estatal en ESE no solo como un campo normativo, sino como un sistema de gobernanza interna cuya solidez depende, en gran medida, de la actualización y consistencia de sus instrumentos operativos.</w:t>
      </w:r>
    </w:p>
    <w:p w14:paraId="3CB77B95" w14:textId="77777777" w:rsidR="002E0D3A" w:rsidRDefault="002E0D3A" w:rsidP="00CE1E33">
      <w:pPr>
        <w:spacing w:line="360" w:lineRule="auto"/>
        <w:jc w:val="both"/>
        <w:rPr>
          <w:rFonts w:ascii="Arial" w:hAnsi="Arial" w:cs="Arial"/>
          <w:b/>
          <w:bCs/>
          <w:sz w:val="24"/>
          <w:szCs w:val="24"/>
        </w:rPr>
      </w:pPr>
    </w:p>
    <w:p w14:paraId="14321AFB" w14:textId="2A5C9471" w:rsidR="008459C7" w:rsidRPr="00CE1E33" w:rsidRDefault="008459C7" w:rsidP="00CE1E33">
      <w:pPr>
        <w:spacing w:line="360" w:lineRule="auto"/>
        <w:jc w:val="both"/>
        <w:rPr>
          <w:rFonts w:ascii="Arial" w:hAnsi="Arial" w:cs="Arial"/>
          <w:b/>
          <w:bCs/>
          <w:sz w:val="24"/>
          <w:szCs w:val="24"/>
        </w:rPr>
      </w:pPr>
      <w:r w:rsidRPr="00CE1E33">
        <w:rPr>
          <w:rFonts w:ascii="Arial" w:hAnsi="Arial" w:cs="Arial"/>
          <w:b/>
          <w:bCs/>
          <w:sz w:val="24"/>
          <w:szCs w:val="24"/>
        </w:rPr>
        <w:t>Desarrollo.</w:t>
      </w:r>
    </w:p>
    <w:p w14:paraId="4EC46128" w14:textId="77777777" w:rsidR="00CE1E33" w:rsidRPr="00CE1E33" w:rsidRDefault="00CE1E33" w:rsidP="002E0D3A">
      <w:pPr>
        <w:spacing w:line="360" w:lineRule="auto"/>
        <w:ind w:firstLine="708"/>
        <w:jc w:val="both"/>
        <w:rPr>
          <w:rFonts w:ascii="Arial" w:hAnsi="Arial" w:cs="Arial"/>
          <w:b/>
          <w:bCs/>
          <w:sz w:val="24"/>
          <w:szCs w:val="24"/>
        </w:rPr>
      </w:pPr>
      <w:r w:rsidRPr="00CE1E33">
        <w:rPr>
          <w:rFonts w:ascii="Arial" w:hAnsi="Arial" w:cs="Arial"/>
          <w:b/>
          <w:bCs/>
          <w:sz w:val="24"/>
          <w:szCs w:val="24"/>
        </w:rPr>
        <w:t>Manuales de contratación y su papel en la garantía de principios en las ESE</w:t>
      </w:r>
    </w:p>
    <w:p w14:paraId="1655E83C" w14:textId="77777777" w:rsidR="002E0D3A" w:rsidRDefault="002E0D3A" w:rsidP="002E0D3A">
      <w:pPr>
        <w:spacing w:line="360" w:lineRule="auto"/>
        <w:ind w:firstLine="708"/>
        <w:jc w:val="both"/>
        <w:rPr>
          <w:rFonts w:ascii="Arial" w:hAnsi="Arial" w:cs="Arial"/>
          <w:sz w:val="24"/>
          <w:szCs w:val="24"/>
        </w:rPr>
      </w:pPr>
    </w:p>
    <w:p w14:paraId="6F0A581B" w14:textId="43365489"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Este artículo, producto del proyecto de investigación, parte de reconocer que la contratación estatal no es una simple técnica de aprovisionamiento, sino una manifestación de la función administrativa orientada al interés general, sometida a un marco de principios que condicionan la validez y legitimidad de las decisiones públicas. En Colombia, el Estatuto General de Contratación consagra expresamente principios rectores como transparencia, economía y responsabilidad, que deben orientar las actuaciones de las entidades estatales (Ley 80, 1993).</w:t>
      </w:r>
    </w:p>
    <w:p w14:paraId="12A79CC8" w14:textId="77777777" w:rsidR="002E0D3A" w:rsidRDefault="002E0D3A" w:rsidP="002E0D3A">
      <w:pPr>
        <w:spacing w:line="360" w:lineRule="auto"/>
        <w:ind w:firstLine="708"/>
        <w:jc w:val="both"/>
        <w:rPr>
          <w:rFonts w:ascii="Arial" w:hAnsi="Arial" w:cs="Arial"/>
          <w:sz w:val="24"/>
          <w:szCs w:val="24"/>
        </w:rPr>
      </w:pPr>
    </w:p>
    <w:p w14:paraId="6EAB4076" w14:textId="742A37B2"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En el caso de las ESE, la naturaleza del servicio público de salud intensifica la exigencia de integridad y control del gasto contractual, pues la contratación se vincula a bienes y servicios críticos para la continuidad y calidad de la atención. Dentro de ese escenario, los manuales de contratación operan como instrumentos de gobernanza interna: estandarizan procedimientos, fijan responsabilidades, precisan rutas, articulan controles y materializan en reglas operativas el mandato normativo abstracto. Por ello, un manual no actualizado puede convertirse en un factor institucional que incrementa incertidumbre, discrecionalidad y opacidad.</w:t>
      </w:r>
    </w:p>
    <w:p w14:paraId="15B6595C"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 xml:space="preserve">Aunque la obligación reglamentaria específica de contar con un manual en el Decreto 1082 de 2015 tuvo discusión y control judicial (el propio Gestor Normativo registra nota de nulidad sobre el artículo relativo al manual), ello no elimina la </w:t>
      </w:r>
      <w:r w:rsidRPr="00CE1E33">
        <w:rPr>
          <w:rFonts w:ascii="Arial" w:hAnsi="Arial" w:cs="Arial"/>
          <w:sz w:val="24"/>
          <w:szCs w:val="24"/>
        </w:rPr>
        <w:lastRenderedPageBreak/>
        <w:t>relevancia práctica del instrumento como mecanismo de organización interna y estandarización de la gestión contractual (Decreto 1082, 2015). Además, en el ecosistema del Sistema de Compra Pública, Colombia Compra Eficiente ofrece guías y manuales como herramientas técnicas que orientan procesos y fortalecen buenas prácticas, lo que confirma la vigencia funcional de estos instrumentos para la gestión (Agencia Nacional de Contratación Pública–Colombia Compra Eficiente [CCE], s. f.).</w:t>
      </w:r>
    </w:p>
    <w:p w14:paraId="38CE7A88" w14:textId="77777777" w:rsidR="002E0D3A" w:rsidRDefault="002E0D3A" w:rsidP="002E0D3A">
      <w:pPr>
        <w:spacing w:line="360" w:lineRule="auto"/>
        <w:ind w:firstLine="708"/>
        <w:jc w:val="both"/>
        <w:rPr>
          <w:rFonts w:ascii="Arial" w:hAnsi="Arial" w:cs="Arial"/>
          <w:sz w:val="24"/>
          <w:szCs w:val="24"/>
        </w:rPr>
      </w:pPr>
    </w:p>
    <w:p w14:paraId="6ED40A82" w14:textId="643F8EBE" w:rsidR="008459C7"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De manera ilustrativa, el Manual de Contratación de CCE incorpora de forma expresa la necesidad de revisión periódica para mantenerlo actualizado frente a cambios normativos, tecnológicos y de política pública, reconociendo el vínculo entre actualización documental y calidad institucional de la contratación (CCE, 2025).</w:t>
      </w:r>
    </w:p>
    <w:p w14:paraId="31833C27" w14:textId="77777777" w:rsidR="002E0D3A" w:rsidRPr="00CE1E33" w:rsidRDefault="002E0D3A" w:rsidP="002E0D3A">
      <w:pPr>
        <w:spacing w:line="360" w:lineRule="auto"/>
        <w:ind w:firstLine="708"/>
        <w:jc w:val="both"/>
        <w:rPr>
          <w:rFonts w:ascii="Arial" w:hAnsi="Arial" w:cs="Arial"/>
          <w:sz w:val="24"/>
          <w:szCs w:val="24"/>
        </w:rPr>
      </w:pPr>
    </w:p>
    <w:p w14:paraId="675CFD25" w14:textId="391CF299"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Desactualización del manual y debilitamiento de la objetividad, la selección objetiva y la transparencia.</w:t>
      </w:r>
    </w:p>
    <w:p w14:paraId="44872989" w14:textId="2693A5F5"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El eje de la investigación se estructura desde la pregunta: ¿cómo incide la desactualización de los manuales de contratación de las ESE en la configuración de riesgos de corrupción y en el debilitamiento de los principios de objetividad, selección objetiva y transparencia? Para abordarla, el análisis considera que la desactualización no se agota en una “falta de ajuste” formal, sino que produce efectos procedimentales: vacíos, ambigüedades, contradicciones internas y desalineación respecto del marco vigente.</w:t>
      </w:r>
    </w:p>
    <w:p w14:paraId="5027217A" w14:textId="77777777" w:rsidR="00CE1E33" w:rsidRPr="00CE1E33" w:rsidRDefault="00CE1E33" w:rsidP="00CE1E33">
      <w:pPr>
        <w:spacing w:line="360" w:lineRule="auto"/>
        <w:jc w:val="both"/>
        <w:rPr>
          <w:rFonts w:ascii="Arial" w:hAnsi="Arial" w:cs="Arial"/>
          <w:sz w:val="24"/>
          <w:szCs w:val="24"/>
        </w:rPr>
      </w:pPr>
    </w:p>
    <w:p w14:paraId="3CC78AB6" w14:textId="77777777"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Selección objetiva como estándar normativo-operativo</w:t>
      </w:r>
    </w:p>
    <w:p w14:paraId="3DFEAB62" w14:textId="77777777" w:rsidR="002E0D3A" w:rsidRDefault="002E0D3A" w:rsidP="002E0D3A">
      <w:pPr>
        <w:spacing w:line="360" w:lineRule="auto"/>
        <w:ind w:firstLine="708"/>
        <w:jc w:val="both"/>
        <w:rPr>
          <w:rFonts w:ascii="Arial" w:hAnsi="Arial" w:cs="Arial"/>
          <w:sz w:val="24"/>
          <w:szCs w:val="24"/>
        </w:rPr>
      </w:pPr>
    </w:p>
    <w:p w14:paraId="4D1423B0" w14:textId="12A779F7"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 xml:space="preserve">La reforma introducida por la Ley 1150 de 2007 reforzó el marco de eficiencia y transparencia, reorganizando reglas de escogencia del contratista y modalidades </w:t>
      </w:r>
      <w:r w:rsidRPr="00CE1E33">
        <w:rPr>
          <w:rFonts w:ascii="Arial" w:hAnsi="Arial" w:cs="Arial"/>
          <w:sz w:val="24"/>
          <w:szCs w:val="24"/>
        </w:rPr>
        <w:lastRenderedPageBreak/>
        <w:t>de selección (Ley 1150, 2007). En ese marco, la selección objetiva exige criterios verificables y comparables, definidos con anterioridad y aplicados sin sesgos. Cuando el manual está desactualizado, pueden aparecer fallas típicas: criterios de evaluación imprecisos, reglas de ponderación desalineadas con el régimen vigente o ausencia de directrices claras para motivar decisiones, lo cual debilita la comparabilidad real de ofertas y amplía el margen de discrecionalidad.</w:t>
      </w:r>
    </w:p>
    <w:p w14:paraId="4F7156B0" w14:textId="77777777" w:rsidR="002E0D3A" w:rsidRDefault="002E0D3A" w:rsidP="00CE1E33">
      <w:pPr>
        <w:spacing w:line="360" w:lineRule="auto"/>
        <w:jc w:val="both"/>
        <w:rPr>
          <w:rFonts w:ascii="Arial" w:hAnsi="Arial" w:cs="Arial"/>
          <w:b/>
          <w:bCs/>
          <w:sz w:val="24"/>
          <w:szCs w:val="24"/>
        </w:rPr>
      </w:pPr>
    </w:p>
    <w:p w14:paraId="14462D70" w14:textId="6E01A059"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Transparencia y trazabilidad como condiciones de control</w:t>
      </w:r>
    </w:p>
    <w:p w14:paraId="04C4B7A7" w14:textId="77777777" w:rsidR="002E0D3A" w:rsidRDefault="002E0D3A" w:rsidP="002E0D3A">
      <w:pPr>
        <w:spacing w:line="360" w:lineRule="auto"/>
        <w:ind w:firstLine="708"/>
        <w:jc w:val="both"/>
        <w:rPr>
          <w:rFonts w:ascii="Arial" w:hAnsi="Arial" w:cs="Arial"/>
          <w:sz w:val="24"/>
          <w:szCs w:val="24"/>
        </w:rPr>
      </w:pPr>
    </w:p>
    <w:p w14:paraId="25355EE5" w14:textId="4A178E8E"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La transparencia se expresa, entre otros aspectos, mediante la publicidad, la trazabilidad y la posibilidad de control por terceros. En términos generales, la Ley de Transparencia regula el derecho de acceso a la información pública y los procedimientos para su garantía (Ley 1712, 2014). De manera complementaria, documentos pedagógicos institucionales destacan que la transparencia implica reglas para el acceso, límites a reservas injustificadas y consecuencias frente a ocultamiento o alteración deliberada de información, fortaleciendo un entorno de rendición de cuentas (Ministerio de Justicia y del Derecho, 2015).</w:t>
      </w:r>
    </w:p>
    <w:p w14:paraId="15DA4821" w14:textId="77777777" w:rsidR="002E0D3A" w:rsidRDefault="002E0D3A" w:rsidP="002E0D3A">
      <w:pPr>
        <w:spacing w:line="360" w:lineRule="auto"/>
        <w:ind w:firstLine="708"/>
        <w:jc w:val="both"/>
        <w:rPr>
          <w:rFonts w:ascii="Arial" w:hAnsi="Arial" w:cs="Arial"/>
          <w:sz w:val="24"/>
          <w:szCs w:val="24"/>
        </w:rPr>
      </w:pPr>
    </w:p>
    <w:p w14:paraId="7C15BE1C" w14:textId="09C641E3"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Un manual desactualizado puede impactar de forma directa esa trazabilidad: ausencia de pautas de archivo, vacíos sobre publicación de actos, inconsistencias en flujos documentales o falta de directrices para registrar motivaciones y criterios utilizados. En consecuencia, la transparencia deja de operar como principio efectivo y se convierte en un enunciado formal sin soporte procedimental suficiente.</w:t>
      </w:r>
    </w:p>
    <w:p w14:paraId="1ABD6FCC" w14:textId="77777777" w:rsidR="002E0D3A" w:rsidRDefault="002E0D3A" w:rsidP="00CE1E33">
      <w:pPr>
        <w:spacing w:line="360" w:lineRule="auto"/>
        <w:jc w:val="both"/>
        <w:rPr>
          <w:rFonts w:ascii="Arial" w:hAnsi="Arial" w:cs="Arial"/>
          <w:b/>
          <w:bCs/>
          <w:sz w:val="24"/>
          <w:szCs w:val="24"/>
        </w:rPr>
      </w:pPr>
    </w:p>
    <w:p w14:paraId="044B2DBF" w14:textId="720DE956"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Objetividad y control de discrecionalidad</w:t>
      </w:r>
    </w:p>
    <w:p w14:paraId="30202984" w14:textId="77777777" w:rsidR="002E0D3A" w:rsidRDefault="002E0D3A" w:rsidP="002E0D3A">
      <w:pPr>
        <w:spacing w:line="360" w:lineRule="auto"/>
        <w:ind w:firstLine="708"/>
        <w:jc w:val="both"/>
        <w:rPr>
          <w:rFonts w:ascii="Arial" w:hAnsi="Arial" w:cs="Arial"/>
          <w:sz w:val="24"/>
          <w:szCs w:val="24"/>
        </w:rPr>
      </w:pPr>
    </w:p>
    <w:p w14:paraId="6C262EC7" w14:textId="77777777" w:rsidR="002E0D3A"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 xml:space="preserve">El principio de objetividad se afecta cuando no existen reglas claras que </w:t>
      </w:r>
    </w:p>
    <w:p w14:paraId="6DABDE6E" w14:textId="5CE584D8"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lastRenderedPageBreak/>
        <w:t>permitan justificar decisiones con base en criterios verificables. La jurisprudencia contencioso-administrativa ha vinculado la transparencia con la instrumentación de procedimientos de selección mediante actuaciones motivadas, públicas y controvertibles, precisamente para asegurar imparcialidad, moralidad y selección objetiva (Consejo de Estado, Sección Tercera, 2013). Esta conexión es crucial para el argumento del artículo: la desactualización del manual puede debilitar esa estructura procedimental exigida para sostener decisiones objetivas, controlables y comparables.</w:t>
      </w:r>
    </w:p>
    <w:p w14:paraId="3F88505E" w14:textId="77777777" w:rsidR="002E0D3A" w:rsidRDefault="002E0D3A" w:rsidP="00CE1E33">
      <w:pPr>
        <w:spacing w:line="360" w:lineRule="auto"/>
        <w:jc w:val="both"/>
        <w:rPr>
          <w:rFonts w:ascii="Arial" w:hAnsi="Arial" w:cs="Arial"/>
          <w:b/>
          <w:bCs/>
          <w:sz w:val="24"/>
          <w:szCs w:val="24"/>
        </w:rPr>
      </w:pPr>
    </w:p>
    <w:p w14:paraId="49B75C0D" w14:textId="0FDD801B"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Riesgos de corrupción y enfoque preventivo: del evento al diseño institucional</w:t>
      </w:r>
    </w:p>
    <w:p w14:paraId="04FD1FA6" w14:textId="77777777" w:rsidR="00CE1E33" w:rsidRDefault="00CE1E33" w:rsidP="00CE1E33">
      <w:pPr>
        <w:spacing w:line="360" w:lineRule="auto"/>
        <w:jc w:val="both"/>
        <w:rPr>
          <w:rFonts w:ascii="Arial" w:hAnsi="Arial" w:cs="Arial"/>
          <w:sz w:val="24"/>
          <w:szCs w:val="24"/>
        </w:rPr>
      </w:pPr>
    </w:p>
    <w:p w14:paraId="5AB2A7D2" w14:textId="083C1BA4"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Este artículo se ubica en un enfoque preventivo: el interés no es probar casos individuales de corrupción, sino evidenciar cómo ciertas debilidades institucionales en particular, la desactualización del manual incrementa la probabilidad de prácticas irregulares. En esa línea, se retoma el giro hacia mecanismos de prevención y control de la gestión pública que promueve el Estatuto Anticorrupción (Ley 1474, 2011).</w:t>
      </w:r>
    </w:p>
    <w:p w14:paraId="29B47143" w14:textId="77777777" w:rsidR="002E0D3A" w:rsidRDefault="002E0D3A" w:rsidP="00CE1E33">
      <w:pPr>
        <w:spacing w:line="360" w:lineRule="auto"/>
        <w:jc w:val="both"/>
        <w:rPr>
          <w:rFonts w:ascii="Arial" w:hAnsi="Arial" w:cs="Arial"/>
          <w:sz w:val="24"/>
          <w:szCs w:val="24"/>
        </w:rPr>
      </w:pPr>
    </w:p>
    <w:p w14:paraId="2C28C86F" w14:textId="6B8007B4"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A nivel internacional, la OCDE ha sostenido que la integridad pública requiere traducir principios y marcos normativos en instrumentos y capacidades para su implementación efectiva, promoviendo estrategias basadas en riesgos y en la mejora de sistemas institucionales (</w:t>
      </w:r>
      <w:proofErr w:type="spellStart"/>
      <w:r w:rsidRPr="00CE1E33">
        <w:rPr>
          <w:rFonts w:ascii="Arial" w:hAnsi="Arial" w:cs="Arial"/>
          <w:sz w:val="24"/>
          <w:szCs w:val="24"/>
        </w:rPr>
        <w:t>Organisation</w:t>
      </w:r>
      <w:proofErr w:type="spellEnd"/>
      <w:r w:rsidRPr="00CE1E33">
        <w:rPr>
          <w:rFonts w:ascii="Arial" w:hAnsi="Arial" w:cs="Arial"/>
          <w:sz w:val="24"/>
          <w:szCs w:val="24"/>
        </w:rPr>
        <w:t xml:space="preserve"> </w:t>
      </w:r>
      <w:proofErr w:type="spellStart"/>
      <w:r w:rsidRPr="00CE1E33">
        <w:rPr>
          <w:rFonts w:ascii="Arial" w:hAnsi="Arial" w:cs="Arial"/>
          <w:sz w:val="24"/>
          <w:szCs w:val="24"/>
        </w:rPr>
        <w:t>for</w:t>
      </w:r>
      <w:proofErr w:type="spellEnd"/>
      <w:r w:rsidRPr="00CE1E33">
        <w:rPr>
          <w:rFonts w:ascii="Arial" w:hAnsi="Arial" w:cs="Arial"/>
          <w:sz w:val="24"/>
          <w:szCs w:val="24"/>
        </w:rPr>
        <w:t xml:space="preserve"> </w:t>
      </w:r>
      <w:proofErr w:type="spellStart"/>
      <w:r w:rsidRPr="00CE1E33">
        <w:rPr>
          <w:rFonts w:ascii="Arial" w:hAnsi="Arial" w:cs="Arial"/>
          <w:sz w:val="24"/>
          <w:szCs w:val="24"/>
        </w:rPr>
        <w:t>Economic</w:t>
      </w:r>
      <w:proofErr w:type="spellEnd"/>
      <w:r w:rsidRPr="00CE1E33">
        <w:rPr>
          <w:rFonts w:ascii="Arial" w:hAnsi="Arial" w:cs="Arial"/>
          <w:sz w:val="24"/>
          <w:szCs w:val="24"/>
        </w:rPr>
        <w:t xml:space="preserve"> </w:t>
      </w:r>
      <w:proofErr w:type="spellStart"/>
      <w:r w:rsidRPr="00CE1E33">
        <w:rPr>
          <w:rFonts w:ascii="Arial" w:hAnsi="Arial" w:cs="Arial"/>
          <w:sz w:val="24"/>
          <w:szCs w:val="24"/>
        </w:rPr>
        <w:t>Co-operation</w:t>
      </w:r>
      <w:proofErr w:type="spellEnd"/>
      <w:r w:rsidRPr="00CE1E33">
        <w:rPr>
          <w:rFonts w:ascii="Arial" w:hAnsi="Arial" w:cs="Arial"/>
          <w:sz w:val="24"/>
          <w:szCs w:val="24"/>
        </w:rPr>
        <w:t xml:space="preserve"> and </w:t>
      </w:r>
      <w:proofErr w:type="spellStart"/>
      <w:r w:rsidRPr="00CE1E33">
        <w:rPr>
          <w:rFonts w:ascii="Arial" w:hAnsi="Arial" w:cs="Arial"/>
          <w:sz w:val="24"/>
          <w:szCs w:val="24"/>
        </w:rPr>
        <w:t>Development</w:t>
      </w:r>
      <w:proofErr w:type="spellEnd"/>
      <w:r w:rsidRPr="00CE1E33">
        <w:rPr>
          <w:rFonts w:ascii="Arial" w:hAnsi="Arial" w:cs="Arial"/>
          <w:sz w:val="24"/>
          <w:szCs w:val="24"/>
        </w:rPr>
        <w:t xml:space="preserve"> [OECD], 2020). De igual forma, publicaciones de la OCDE han insistido en que la contratación pública es un área especialmente vulnerable a la corrupción y que la falta de transparencia y la debilidad de rendición de cuentas constituyen amenazas centrales para la integridad del sistema (OECD, 2007).</w:t>
      </w:r>
    </w:p>
    <w:p w14:paraId="339E097D" w14:textId="77777777" w:rsidR="00CE1E33" w:rsidRPr="00CE1E33" w:rsidRDefault="00CE1E33" w:rsidP="00CE1E33">
      <w:pPr>
        <w:spacing w:line="360" w:lineRule="auto"/>
        <w:jc w:val="both"/>
        <w:rPr>
          <w:rFonts w:ascii="Arial" w:hAnsi="Arial" w:cs="Arial"/>
          <w:sz w:val="24"/>
          <w:szCs w:val="24"/>
        </w:rPr>
      </w:pPr>
    </w:p>
    <w:p w14:paraId="341B9A83" w14:textId="111CB2C7"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lastRenderedPageBreak/>
        <w:t>En el plano nacional, recomendaciones de sociedad civil han destacado la necesidad de fortalecer acceso a información y función preventiva de órganos de control en contratación, lo que coincide con la lectura institucional del riesgo como una variable gestionable mediante reglas claras y controles ex ante (Transparencia por Colombia, 2020).</w:t>
      </w:r>
    </w:p>
    <w:p w14:paraId="3344EC49" w14:textId="77777777" w:rsidR="00CE1E33" w:rsidRPr="00CE1E33" w:rsidRDefault="00CE1E33" w:rsidP="00CE1E33">
      <w:pPr>
        <w:spacing w:line="360" w:lineRule="auto"/>
        <w:jc w:val="both"/>
        <w:rPr>
          <w:rFonts w:ascii="Arial" w:hAnsi="Arial" w:cs="Arial"/>
          <w:sz w:val="24"/>
          <w:szCs w:val="24"/>
        </w:rPr>
      </w:pPr>
    </w:p>
    <w:p w14:paraId="4B644477" w14:textId="77777777" w:rsidR="00CE1E33" w:rsidRPr="00CE1E33" w:rsidRDefault="00CE1E33" w:rsidP="002E0D3A">
      <w:pPr>
        <w:spacing w:line="360" w:lineRule="auto"/>
        <w:jc w:val="both"/>
        <w:rPr>
          <w:rFonts w:ascii="Arial" w:hAnsi="Arial" w:cs="Arial"/>
          <w:b/>
          <w:bCs/>
          <w:sz w:val="24"/>
          <w:szCs w:val="24"/>
        </w:rPr>
      </w:pPr>
      <w:r w:rsidRPr="00CE1E33">
        <w:rPr>
          <w:rFonts w:ascii="Arial" w:hAnsi="Arial" w:cs="Arial"/>
          <w:b/>
          <w:bCs/>
          <w:sz w:val="24"/>
          <w:szCs w:val="24"/>
        </w:rPr>
        <w:t>Ruta documental del análisis: cómo se examina la incidencia del manual</w:t>
      </w:r>
    </w:p>
    <w:p w14:paraId="77251AD2" w14:textId="77777777"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En coherencia con el proyecto, el artículo se sustenta en una investigación estrictamente documental, aplicando dos operaciones principales:</w:t>
      </w:r>
    </w:p>
    <w:p w14:paraId="687F2B8F" w14:textId="283DB95F"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Delimitación del estándar: se sistematizan normas y criterios jurisprudenciales que concretan exigencias de transparencia, selección objetiva y objetividad (Ley 80, 1993; Ley 1150, 2007; Ley 1712, 2014; Consejo de Estado, 2013).</w:t>
      </w:r>
    </w:p>
    <w:p w14:paraId="12CEAD64" w14:textId="29DBF1E5"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Contraste normativo–procedimental: se examinan manuales de contratación de ESE (corpus) mediante matrices de análisis de contenido, identificando:</w:t>
      </w:r>
    </w:p>
    <w:p w14:paraId="7F1BC285"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presencia/ausencia de reglas para planeación y trazabilidad;</w:t>
      </w:r>
    </w:p>
    <w:p w14:paraId="60DE1A2B"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definición de criterios de evaluación y motivación;</w:t>
      </w:r>
    </w:p>
    <w:p w14:paraId="3D0ABBB4"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reglas de publicidad, archivo y control;</w:t>
      </w:r>
    </w:p>
    <w:p w14:paraId="3D72A49A"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tratamiento de discrecionalidad y responsabilidades.</w:t>
      </w:r>
    </w:p>
    <w:p w14:paraId="41E4BD37" w14:textId="77777777" w:rsidR="002E0D3A" w:rsidRDefault="002E0D3A" w:rsidP="00CE1E33">
      <w:pPr>
        <w:spacing w:line="360" w:lineRule="auto"/>
        <w:jc w:val="both"/>
        <w:rPr>
          <w:rFonts w:ascii="Arial" w:hAnsi="Arial" w:cs="Arial"/>
          <w:sz w:val="24"/>
          <w:szCs w:val="24"/>
        </w:rPr>
      </w:pPr>
    </w:p>
    <w:p w14:paraId="59A93D31" w14:textId="1588F326"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A partir de ese contraste, se argumenta la incidencia: cuando el manual omite o mantiene desalineados elementos críticos del estándar, se incrementan vulnerabilidades institucionales que afectan la efectividad de los principios y elevan la exposición a riesgos de corrupción.</w:t>
      </w:r>
    </w:p>
    <w:p w14:paraId="317274B2" w14:textId="77777777" w:rsidR="002E0D3A" w:rsidRDefault="002E0D3A" w:rsidP="00CE1E33">
      <w:pPr>
        <w:spacing w:line="360" w:lineRule="auto"/>
        <w:jc w:val="both"/>
        <w:rPr>
          <w:rFonts w:ascii="Arial" w:hAnsi="Arial" w:cs="Arial"/>
          <w:b/>
          <w:bCs/>
          <w:sz w:val="24"/>
          <w:szCs w:val="24"/>
        </w:rPr>
      </w:pPr>
    </w:p>
    <w:p w14:paraId="5FE63D1C" w14:textId="7F3BBA99"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lastRenderedPageBreak/>
        <w:t>Lineamientos derivados: actualización como control preventivo e integridad institucional</w:t>
      </w:r>
    </w:p>
    <w:p w14:paraId="3456EEBE" w14:textId="77777777" w:rsidR="002E0D3A" w:rsidRDefault="002E0D3A" w:rsidP="00CE1E33">
      <w:pPr>
        <w:spacing w:line="360" w:lineRule="auto"/>
        <w:jc w:val="both"/>
        <w:rPr>
          <w:rFonts w:ascii="Arial" w:hAnsi="Arial" w:cs="Arial"/>
          <w:sz w:val="24"/>
          <w:szCs w:val="24"/>
        </w:rPr>
      </w:pPr>
    </w:p>
    <w:p w14:paraId="4237415D" w14:textId="0EF3A6E9"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Derivado del análisis, el artículo orienta una propuesta de lineamientos para actualización periódica del manual como medida de prevención, con énfasis en:</w:t>
      </w:r>
    </w:p>
    <w:p w14:paraId="3703438E"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Coherencia normativa y control de versiones: fecha, acto de adopción, historial de cambios y actualización ante cambios normativos/jurisprudenciales relevantes (Ley 80, 1993; Ley 1150, 2007).</w:t>
      </w:r>
    </w:p>
    <w:p w14:paraId="134365B2" w14:textId="77777777" w:rsidR="00CE1E33" w:rsidRPr="00CE1E33" w:rsidRDefault="00CE1E33" w:rsidP="00CE1E33">
      <w:pPr>
        <w:spacing w:line="360" w:lineRule="auto"/>
        <w:jc w:val="both"/>
        <w:rPr>
          <w:rFonts w:ascii="Arial" w:hAnsi="Arial" w:cs="Arial"/>
          <w:sz w:val="24"/>
          <w:szCs w:val="24"/>
        </w:rPr>
      </w:pPr>
    </w:p>
    <w:p w14:paraId="1BA11F9A" w14:textId="77777777"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Estandarización de criterios de evaluación y motivación: reglas claras para objetividad y selección objetiva, reduciendo ambigüedad procedimental (Consejo de Estado, 2013).</w:t>
      </w:r>
    </w:p>
    <w:p w14:paraId="74284E62" w14:textId="77777777" w:rsidR="002E0D3A" w:rsidRDefault="002E0D3A" w:rsidP="002E0D3A">
      <w:pPr>
        <w:spacing w:line="360" w:lineRule="auto"/>
        <w:ind w:firstLine="708"/>
        <w:jc w:val="both"/>
        <w:rPr>
          <w:rFonts w:ascii="Arial" w:hAnsi="Arial" w:cs="Arial"/>
          <w:sz w:val="24"/>
          <w:szCs w:val="24"/>
        </w:rPr>
      </w:pPr>
    </w:p>
    <w:p w14:paraId="11E46B0A" w14:textId="0611CE69"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Trazabilidad, publicidad y acceso a información: incorporación expresa de flujos de documentación, publicación y archivo en clave de transparencia y derecho de acceso (Ley 1712, 2014; Ministerio de Justicia y del Derecho, 2015).</w:t>
      </w:r>
    </w:p>
    <w:p w14:paraId="127B274F" w14:textId="77777777" w:rsidR="00CE1E33" w:rsidRPr="00CE1E33" w:rsidRDefault="00CE1E33" w:rsidP="00CE1E33">
      <w:pPr>
        <w:spacing w:line="360" w:lineRule="auto"/>
        <w:jc w:val="both"/>
        <w:rPr>
          <w:rFonts w:ascii="Arial" w:hAnsi="Arial" w:cs="Arial"/>
          <w:sz w:val="24"/>
          <w:szCs w:val="24"/>
        </w:rPr>
      </w:pPr>
      <w:r w:rsidRPr="00CE1E33">
        <w:rPr>
          <w:rFonts w:ascii="Arial" w:hAnsi="Arial" w:cs="Arial"/>
          <w:sz w:val="24"/>
          <w:szCs w:val="24"/>
        </w:rPr>
        <w:t>Gestión de riesgos: enfoque preventivo coherente con marcos de integridad que recomiendan estrategias basadas en riesgo y capacidades institucionales para implementación (OECD, 2020; Transparencia por Colombia, 2020).</w:t>
      </w:r>
    </w:p>
    <w:p w14:paraId="37A8FEFF" w14:textId="77777777" w:rsidR="002E0D3A" w:rsidRDefault="002E0D3A" w:rsidP="00CE1E33">
      <w:pPr>
        <w:spacing w:line="360" w:lineRule="auto"/>
        <w:jc w:val="both"/>
        <w:rPr>
          <w:rFonts w:ascii="Arial" w:hAnsi="Arial" w:cs="Arial"/>
          <w:sz w:val="24"/>
          <w:szCs w:val="24"/>
        </w:rPr>
      </w:pPr>
    </w:p>
    <w:p w14:paraId="7AB29755" w14:textId="4954074D"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Revisión periódica institucionalizada: siguiendo la lógica de actualización continua que reconoce CCE en su propio manual, como respuesta a cambios normativos, tecnológicos y de política pública (CCE, 2025).</w:t>
      </w:r>
    </w:p>
    <w:p w14:paraId="0A60F693" w14:textId="77777777" w:rsidR="002E0D3A" w:rsidRDefault="002E0D3A" w:rsidP="00CE1E33">
      <w:pPr>
        <w:spacing w:line="360" w:lineRule="auto"/>
        <w:jc w:val="both"/>
        <w:rPr>
          <w:rFonts w:ascii="Arial" w:hAnsi="Arial" w:cs="Arial"/>
          <w:sz w:val="24"/>
          <w:szCs w:val="24"/>
        </w:rPr>
      </w:pPr>
    </w:p>
    <w:p w14:paraId="22CB277B" w14:textId="694B574C"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 xml:space="preserve">La desactualización del manual puede operar como una debilidad institucional que compromete la efectividad de la objetividad, la selección objetiva y la transparencia, al generar vacíos y ambigüedades procedimentales que </w:t>
      </w:r>
      <w:r w:rsidRPr="00CE1E33">
        <w:rPr>
          <w:rFonts w:ascii="Arial" w:hAnsi="Arial" w:cs="Arial"/>
          <w:sz w:val="24"/>
          <w:szCs w:val="24"/>
        </w:rPr>
        <w:lastRenderedPageBreak/>
        <w:t>incrementan la exposición a riesgos de corrupción. Esta conclusión se sostiene en el contraste entre el estándar normativo-jurisprudencial y la función operativa de los manuales como instrumentos de gobernanza interna, bajo un enfoque preventivo consistente con marcos nacionales e internacionales de integridad.</w:t>
      </w:r>
    </w:p>
    <w:p w14:paraId="6CCC0ADE" w14:textId="6AC9E520" w:rsidR="00CE1E33" w:rsidRPr="00CE1E33" w:rsidRDefault="00CE1E33" w:rsidP="00CE1E33">
      <w:pPr>
        <w:spacing w:line="360" w:lineRule="auto"/>
        <w:jc w:val="both"/>
        <w:rPr>
          <w:rFonts w:ascii="Arial" w:hAnsi="Arial" w:cs="Arial"/>
          <w:sz w:val="24"/>
          <w:szCs w:val="24"/>
        </w:rPr>
      </w:pPr>
    </w:p>
    <w:p w14:paraId="2DC9AE6A" w14:textId="77777777" w:rsidR="00CE1E33" w:rsidRPr="00CE1E33" w:rsidRDefault="00CE1E33" w:rsidP="00CE1E33">
      <w:pPr>
        <w:spacing w:line="360" w:lineRule="auto"/>
        <w:jc w:val="both"/>
        <w:rPr>
          <w:rFonts w:ascii="Arial" w:hAnsi="Arial" w:cs="Arial"/>
          <w:b/>
          <w:bCs/>
          <w:sz w:val="24"/>
          <w:szCs w:val="24"/>
        </w:rPr>
      </w:pPr>
      <w:r w:rsidRPr="00CE1E33">
        <w:rPr>
          <w:rFonts w:ascii="Arial" w:hAnsi="Arial" w:cs="Arial"/>
          <w:b/>
          <w:bCs/>
          <w:sz w:val="24"/>
          <w:szCs w:val="24"/>
        </w:rPr>
        <w:t>Conclusiones</w:t>
      </w:r>
    </w:p>
    <w:p w14:paraId="1CE9084D" w14:textId="77777777" w:rsidR="002E0D3A" w:rsidRDefault="002E0D3A" w:rsidP="002E0D3A">
      <w:pPr>
        <w:spacing w:line="360" w:lineRule="auto"/>
        <w:ind w:firstLine="708"/>
        <w:jc w:val="both"/>
        <w:rPr>
          <w:rFonts w:ascii="Arial" w:hAnsi="Arial" w:cs="Arial"/>
          <w:sz w:val="24"/>
          <w:szCs w:val="24"/>
        </w:rPr>
      </w:pPr>
    </w:p>
    <w:p w14:paraId="5E798918" w14:textId="0A69EE56"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La investigación documental permite sostener que la desactualización de los manuales de contratación en las ESE no es un problema meramente formal, sino una debilidad institucional que puede afectar la coherencia entre el marco jurídico vigente y la operación interna de los procesos contractuales, comprometiendo la materialización práctica de los principios de la contratación estatal previstos en el Estatuto General de Contratación.</w:t>
      </w:r>
    </w:p>
    <w:p w14:paraId="03E908F7" w14:textId="77777777"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Se evidencia que, cuando el manual no integra ajustes normativos, jurisprudenciales y operativos, tiende a producir vacíos o ambigüedades procedimentales que amplían la discrecionalidad, dificultan la motivación de decisiones y debilitan condiciones mínimas para garantizar objetividad y selección objetiva en la comparación de ofertas y en la escogencia del contratista.</w:t>
      </w:r>
    </w:p>
    <w:p w14:paraId="4240F9CB" w14:textId="77777777" w:rsidR="002E0D3A" w:rsidRDefault="002E0D3A" w:rsidP="002E0D3A">
      <w:pPr>
        <w:spacing w:line="360" w:lineRule="auto"/>
        <w:ind w:firstLine="708"/>
        <w:jc w:val="both"/>
        <w:rPr>
          <w:rFonts w:ascii="Arial" w:hAnsi="Arial" w:cs="Arial"/>
          <w:sz w:val="24"/>
          <w:szCs w:val="24"/>
        </w:rPr>
      </w:pPr>
    </w:p>
    <w:p w14:paraId="70B216FE" w14:textId="32F02826"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La transparencia se afecta de manera directa cuando los manuales no fortalecen la trazabilidad, publicidad y gestión documental del proceso contractual, en contravía del estándar reforzado por el régimen de acceso a la información pública, que exige procedimientos y garantías para hacer controlables las decisiones estatales.</w:t>
      </w:r>
    </w:p>
    <w:p w14:paraId="2AA41626" w14:textId="77777777" w:rsidR="002E0D3A" w:rsidRDefault="002E0D3A" w:rsidP="002E0D3A">
      <w:pPr>
        <w:spacing w:line="360" w:lineRule="auto"/>
        <w:ind w:firstLine="708"/>
        <w:jc w:val="both"/>
        <w:rPr>
          <w:rFonts w:ascii="Arial" w:hAnsi="Arial" w:cs="Arial"/>
          <w:sz w:val="24"/>
          <w:szCs w:val="24"/>
        </w:rPr>
      </w:pPr>
    </w:p>
    <w:p w14:paraId="721464F1" w14:textId="51BBBF3B"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 xml:space="preserve">Bajo un enfoque preventivo, los hallazgos soportan que manuales desactualizados incrementan la exposición a riesgos de corrupción al debilitar controles ex ante, estandarización y rendición de cuentas, línea que se conecta con </w:t>
      </w:r>
      <w:r w:rsidRPr="00CE1E33">
        <w:rPr>
          <w:rFonts w:ascii="Arial" w:hAnsi="Arial" w:cs="Arial"/>
          <w:sz w:val="24"/>
          <w:szCs w:val="24"/>
        </w:rPr>
        <w:lastRenderedPageBreak/>
        <w:t>el propósito del Estatuto Anticorrupción y con enfoques contemporáneos de integridad pública basados en gestión del riesgo.</w:t>
      </w:r>
    </w:p>
    <w:p w14:paraId="5E67EDD7" w14:textId="598A29FF" w:rsidR="00CE1E33" w:rsidRPr="00CE1E33" w:rsidRDefault="00CE1E33" w:rsidP="002E0D3A">
      <w:pPr>
        <w:spacing w:line="360" w:lineRule="auto"/>
        <w:ind w:firstLine="708"/>
        <w:jc w:val="both"/>
        <w:rPr>
          <w:rFonts w:ascii="Arial" w:hAnsi="Arial" w:cs="Arial"/>
          <w:sz w:val="24"/>
          <w:szCs w:val="24"/>
        </w:rPr>
      </w:pPr>
      <w:r w:rsidRPr="00CE1E33">
        <w:rPr>
          <w:rFonts w:ascii="Arial" w:hAnsi="Arial" w:cs="Arial"/>
          <w:sz w:val="24"/>
          <w:szCs w:val="24"/>
        </w:rPr>
        <w:t>En consecuencia, la actualización periódica e institucionalizada del manual de contratación debe comprenderse como un control preventivo y una medida de fortalecimiento de gobernanza interna, coherente con guías técnicas del sistema de compra pública y con estándares internacionales que señalan la vulnerabilidad de la contratación pública frente a corrupción cuando hay opacidad y debilidad de rendición de cuentas.</w:t>
      </w:r>
    </w:p>
    <w:p w14:paraId="2479FF5F" w14:textId="762973A0" w:rsidR="00CE1E33" w:rsidRDefault="00CE1E33" w:rsidP="00CE1E33">
      <w:pPr>
        <w:rPr>
          <w:rFonts w:ascii="Arial" w:hAnsi="Arial" w:cs="Arial"/>
          <w:sz w:val="24"/>
          <w:szCs w:val="24"/>
        </w:rPr>
      </w:pPr>
    </w:p>
    <w:p w14:paraId="2F45A96D" w14:textId="1E818E72" w:rsidR="00CE1E33" w:rsidRDefault="00CE1E33" w:rsidP="00CE1E33">
      <w:pPr>
        <w:rPr>
          <w:rFonts w:ascii="Arial" w:hAnsi="Arial" w:cs="Arial"/>
          <w:sz w:val="24"/>
          <w:szCs w:val="24"/>
        </w:rPr>
      </w:pPr>
    </w:p>
    <w:p w14:paraId="57D641E8" w14:textId="77777777" w:rsidR="00CE1E33" w:rsidRDefault="00CE1E33" w:rsidP="00CE1E33">
      <w:pPr>
        <w:rPr>
          <w:rFonts w:ascii="Arial" w:hAnsi="Arial" w:cs="Arial"/>
          <w:sz w:val="24"/>
          <w:szCs w:val="24"/>
        </w:rPr>
      </w:pPr>
    </w:p>
    <w:p w14:paraId="28746E34" w14:textId="62585395" w:rsidR="00CE1E33" w:rsidRPr="00CE1E33" w:rsidRDefault="00CE1E33" w:rsidP="00CE1E33">
      <w:pPr>
        <w:jc w:val="both"/>
        <w:rPr>
          <w:rFonts w:ascii="Arial" w:hAnsi="Arial" w:cs="Arial"/>
          <w:b/>
          <w:bCs/>
          <w:i/>
          <w:iCs/>
          <w:sz w:val="24"/>
          <w:szCs w:val="24"/>
        </w:rPr>
      </w:pPr>
      <w:proofErr w:type="gramStart"/>
      <w:r w:rsidRPr="00CE1E33">
        <w:rPr>
          <w:rFonts w:ascii="Arial" w:hAnsi="Arial" w:cs="Arial"/>
          <w:b/>
          <w:bCs/>
          <w:i/>
          <w:iCs/>
          <w:sz w:val="24"/>
          <w:szCs w:val="24"/>
        </w:rPr>
        <w:t xml:space="preserve">Referencias </w:t>
      </w:r>
      <w:r w:rsidR="002E0D3A">
        <w:rPr>
          <w:rFonts w:ascii="Arial" w:hAnsi="Arial" w:cs="Arial"/>
          <w:b/>
          <w:bCs/>
          <w:i/>
          <w:iCs/>
          <w:sz w:val="24"/>
          <w:szCs w:val="24"/>
        </w:rPr>
        <w:t xml:space="preserve"> Bibliográficas</w:t>
      </w:r>
      <w:proofErr w:type="gramEnd"/>
    </w:p>
    <w:p w14:paraId="0A30554B" w14:textId="77777777" w:rsidR="002E0D3A" w:rsidRDefault="002E0D3A" w:rsidP="00CE1E33">
      <w:pPr>
        <w:jc w:val="both"/>
        <w:rPr>
          <w:rFonts w:ascii="Arial" w:hAnsi="Arial" w:cs="Arial"/>
          <w:i/>
          <w:iCs/>
          <w:sz w:val="24"/>
          <w:szCs w:val="24"/>
        </w:rPr>
      </w:pPr>
    </w:p>
    <w:p w14:paraId="4A3C9C28" w14:textId="718B5B09"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Agencia Nacional de Contratación Pública – Colombia Compra Eficiente. (s. f.). Guías y manuales. https://www.colombiacompra.gov.co/normativa-y-relatoria/guias-y-manuales</w:t>
      </w:r>
    </w:p>
    <w:p w14:paraId="123F7649" w14:textId="77777777" w:rsidR="00CE1E33" w:rsidRPr="00CE1E33" w:rsidRDefault="00CE1E33" w:rsidP="00CE1E33">
      <w:pPr>
        <w:jc w:val="both"/>
        <w:rPr>
          <w:rFonts w:ascii="Arial" w:hAnsi="Arial" w:cs="Arial"/>
          <w:i/>
          <w:iCs/>
          <w:sz w:val="24"/>
          <w:szCs w:val="24"/>
        </w:rPr>
      </w:pPr>
    </w:p>
    <w:p w14:paraId="27A99A80"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Agencia Nacional de Contratación Pública – Colombia Compra Eficiente. (2025). Manual de contratación (CCE-GCO-MA-01) V07 (24-07-2025) [PDF]. https://www.colombiacompra.gov.co/wp-content/uploads/2025/06/CCE-GCO-MA-01-MANUAL-DE-CONTRATACION-V07-24-07-2025-of.pdf</w:t>
      </w:r>
    </w:p>
    <w:p w14:paraId="3098DB05" w14:textId="77777777" w:rsidR="00CE1E33" w:rsidRPr="00CE1E33" w:rsidRDefault="00CE1E33" w:rsidP="00CE1E33">
      <w:pPr>
        <w:jc w:val="both"/>
        <w:rPr>
          <w:rFonts w:ascii="Arial" w:hAnsi="Arial" w:cs="Arial"/>
          <w:i/>
          <w:iCs/>
          <w:sz w:val="24"/>
          <w:szCs w:val="24"/>
        </w:rPr>
      </w:pPr>
    </w:p>
    <w:p w14:paraId="73172355"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Consejo de Estado, Sección Tercera. (2013). Contratación estatal – Principios. Planeación (</w:t>
      </w:r>
      <w:proofErr w:type="spellStart"/>
      <w:r w:rsidRPr="00CE1E33">
        <w:rPr>
          <w:rFonts w:ascii="Arial" w:hAnsi="Arial" w:cs="Arial"/>
          <w:i/>
          <w:iCs/>
          <w:sz w:val="24"/>
          <w:szCs w:val="24"/>
        </w:rPr>
        <w:t>Exp</w:t>
      </w:r>
      <w:proofErr w:type="spellEnd"/>
      <w:r w:rsidRPr="00CE1E33">
        <w:rPr>
          <w:rFonts w:ascii="Arial" w:hAnsi="Arial" w:cs="Arial"/>
          <w:i/>
          <w:iCs/>
          <w:sz w:val="24"/>
          <w:szCs w:val="24"/>
        </w:rPr>
        <w:t>. 07001-23-31-000-1999-00546-01 [21489]) [PDF]. https://www.consejodeestado.gov.co/documentos/boletines/105/S3/07001-23-31-000-1999-00546-01%2821489%29.pdf</w:t>
      </w:r>
    </w:p>
    <w:p w14:paraId="59B36FE2" w14:textId="77777777" w:rsidR="00CE1E33" w:rsidRPr="00CE1E33" w:rsidRDefault="00CE1E33" w:rsidP="00CE1E33">
      <w:pPr>
        <w:jc w:val="both"/>
        <w:rPr>
          <w:rFonts w:ascii="Arial" w:hAnsi="Arial" w:cs="Arial"/>
          <w:i/>
          <w:iCs/>
          <w:sz w:val="24"/>
          <w:szCs w:val="24"/>
        </w:rPr>
      </w:pPr>
    </w:p>
    <w:p w14:paraId="53D8229E"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Departamento Administrativo de la Función Pública. (s. f.). Ley 80 de 1993 [Gestor Normativo]. https://www.funcionpublica.gov.co/eva/gestornormativo/norma.php?i=304</w:t>
      </w:r>
    </w:p>
    <w:p w14:paraId="25B4E85C" w14:textId="77777777" w:rsidR="00CE1E33" w:rsidRPr="00CE1E33" w:rsidRDefault="00CE1E33" w:rsidP="00CE1E33">
      <w:pPr>
        <w:jc w:val="both"/>
        <w:rPr>
          <w:rFonts w:ascii="Arial" w:hAnsi="Arial" w:cs="Arial"/>
          <w:i/>
          <w:iCs/>
          <w:sz w:val="24"/>
          <w:szCs w:val="24"/>
        </w:rPr>
      </w:pPr>
    </w:p>
    <w:p w14:paraId="2842C68C"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lastRenderedPageBreak/>
        <w:t>Departamento Administrativo de la Función Pública. (s. f.). Ley 1150 de 2007 [Gestor Normativo]. https://www.funcionpublica.gov.co/eva/gestornormativo/norma.php?i=184686</w:t>
      </w:r>
    </w:p>
    <w:p w14:paraId="24C7BA62" w14:textId="77777777" w:rsidR="00CE1E33" w:rsidRPr="00CE1E33" w:rsidRDefault="00CE1E33" w:rsidP="00CE1E33">
      <w:pPr>
        <w:jc w:val="both"/>
        <w:rPr>
          <w:rFonts w:ascii="Arial" w:hAnsi="Arial" w:cs="Arial"/>
          <w:i/>
          <w:iCs/>
          <w:sz w:val="24"/>
          <w:szCs w:val="24"/>
        </w:rPr>
      </w:pPr>
    </w:p>
    <w:p w14:paraId="1D460D0F"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Departamento Administrativo de la Función Pública. (s. f.). Ley 1474 de 2011 [Gestor Normativo]. https://www.funcionpublica.gov.co/eva/gestornormativo/norma.php?i=43292</w:t>
      </w:r>
    </w:p>
    <w:p w14:paraId="236FA88E" w14:textId="77777777" w:rsidR="00CE1E33" w:rsidRPr="00CE1E33" w:rsidRDefault="00CE1E33" w:rsidP="00CE1E33">
      <w:pPr>
        <w:jc w:val="both"/>
        <w:rPr>
          <w:rFonts w:ascii="Arial" w:hAnsi="Arial" w:cs="Arial"/>
          <w:i/>
          <w:iCs/>
          <w:sz w:val="24"/>
          <w:szCs w:val="24"/>
        </w:rPr>
      </w:pPr>
    </w:p>
    <w:p w14:paraId="0DA21A98"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Departamento Administrativo de la Función Pública. (s. f.). Ley 1712 de 2014 [Gestor Normativo]. https://www.funcionpublica.gov.co/eva/gestornormativo/norma.php?i=56882</w:t>
      </w:r>
    </w:p>
    <w:p w14:paraId="1EE2E5E1" w14:textId="77777777" w:rsidR="00CE1E33" w:rsidRPr="00CE1E33" w:rsidRDefault="00CE1E33" w:rsidP="00CE1E33">
      <w:pPr>
        <w:jc w:val="both"/>
        <w:rPr>
          <w:rFonts w:ascii="Arial" w:hAnsi="Arial" w:cs="Arial"/>
          <w:i/>
          <w:iCs/>
          <w:sz w:val="24"/>
          <w:szCs w:val="24"/>
        </w:rPr>
      </w:pPr>
    </w:p>
    <w:p w14:paraId="0199A61C"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Departamento Nacional de Planeación. (2015, 26 de mayo). Decreto 1082 de 2015: Decreto Único Reglamentario del Sector Administrativo de Planeación Nacional. https://www.dnp.gov.co/normativa/decreto-unico-reglamentario-1082-de-26-de-mayo-2015</w:t>
      </w:r>
    </w:p>
    <w:p w14:paraId="7E862A94" w14:textId="77777777" w:rsidR="00CE1E33" w:rsidRPr="00CE1E33" w:rsidRDefault="00CE1E33" w:rsidP="00CE1E33">
      <w:pPr>
        <w:jc w:val="both"/>
        <w:rPr>
          <w:rFonts w:ascii="Arial" w:hAnsi="Arial" w:cs="Arial"/>
          <w:i/>
          <w:iCs/>
          <w:sz w:val="24"/>
          <w:szCs w:val="24"/>
        </w:rPr>
      </w:pPr>
    </w:p>
    <w:p w14:paraId="7C1C689F"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Ministerio de Justicia y del Derecho. (2015). ABC: Ley de Transparencia y del Derecho de Acceso a la Información Pública [PDF]. https://www.minjusticia.gov.co/Sala-de-prensa/PublicacionesMinJusticia/ABC%20Ley%20de%20Transparencia%20y%20Acceso%20a%20la%20Informaci%C3%B3n%20P%C3%BAblica_.pdf</w:t>
      </w:r>
    </w:p>
    <w:p w14:paraId="68E6A70D" w14:textId="77777777" w:rsidR="00CE1E33" w:rsidRPr="00CE1E33" w:rsidRDefault="00CE1E33" w:rsidP="00CE1E33">
      <w:pPr>
        <w:jc w:val="both"/>
        <w:rPr>
          <w:rFonts w:ascii="Arial" w:hAnsi="Arial" w:cs="Arial"/>
          <w:i/>
          <w:iCs/>
          <w:sz w:val="24"/>
          <w:szCs w:val="24"/>
        </w:rPr>
      </w:pPr>
    </w:p>
    <w:p w14:paraId="73A39156"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Organización para la Cooperación y el Desarrollo Económicos. (2007). La integridad en la contratación pública [PDF]. https://www.oecd.org/content/dam/oecd/es/publications/reports/2007/04/integrity-in-public-procurement_g1gh7e20/9789264085084-es.pdf</w:t>
      </w:r>
    </w:p>
    <w:p w14:paraId="650B747F" w14:textId="77777777" w:rsidR="00CE1E33" w:rsidRPr="00CE1E33" w:rsidRDefault="00CE1E33" w:rsidP="00CE1E33">
      <w:pPr>
        <w:jc w:val="both"/>
        <w:rPr>
          <w:rFonts w:ascii="Arial" w:hAnsi="Arial" w:cs="Arial"/>
          <w:i/>
          <w:iCs/>
          <w:sz w:val="24"/>
          <w:szCs w:val="24"/>
        </w:rPr>
      </w:pPr>
    </w:p>
    <w:p w14:paraId="0381077A" w14:textId="77777777"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Organización para la Cooperación y el Desarrollo Económicos. (2020). Manual de la OCDE sobre integridad pública [PDF]. https://www.oecd.org/content/dam/oecd/es/publications/reports/2020/05/oecd-public-integrity-handbook_598692a5/8a2fac21-es.pdf</w:t>
      </w:r>
    </w:p>
    <w:p w14:paraId="080896E9" w14:textId="77777777" w:rsidR="00CE1E33" w:rsidRPr="00CE1E33" w:rsidRDefault="00CE1E33" w:rsidP="00CE1E33">
      <w:pPr>
        <w:jc w:val="both"/>
        <w:rPr>
          <w:rFonts w:ascii="Arial" w:hAnsi="Arial" w:cs="Arial"/>
          <w:i/>
          <w:iCs/>
          <w:sz w:val="24"/>
          <w:szCs w:val="24"/>
        </w:rPr>
      </w:pPr>
    </w:p>
    <w:p w14:paraId="6B986D86" w14:textId="4C9215FA" w:rsidR="00CE1E33" w:rsidRPr="00CE1E33" w:rsidRDefault="00CE1E33" w:rsidP="00CE1E33">
      <w:pPr>
        <w:jc w:val="both"/>
        <w:rPr>
          <w:rFonts w:ascii="Arial" w:hAnsi="Arial" w:cs="Arial"/>
          <w:i/>
          <w:iCs/>
          <w:sz w:val="24"/>
          <w:szCs w:val="24"/>
        </w:rPr>
      </w:pPr>
      <w:r w:rsidRPr="00CE1E33">
        <w:rPr>
          <w:rFonts w:ascii="Arial" w:hAnsi="Arial" w:cs="Arial"/>
          <w:i/>
          <w:iCs/>
          <w:sz w:val="24"/>
          <w:szCs w:val="24"/>
        </w:rPr>
        <w:t xml:space="preserve">Transparencia por Colombia. (2020, noviembre). Recomendaciones para evitar riesgos de corrupción en la contratación pública y facilitar ejercicios ciudadanos. </w:t>
      </w:r>
      <w:r w:rsidRPr="00CE1E33">
        <w:rPr>
          <w:rFonts w:ascii="Arial" w:hAnsi="Arial" w:cs="Arial"/>
          <w:i/>
          <w:iCs/>
          <w:sz w:val="24"/>
          <w:szCs w:val="24"/>
        </w:rPr>
        <w:lastRenderedPageBreak/>
        <w:t>https://transparenciacolombia.org.co/recomendaciones-para-evitar-riesgos-de-corrupcion-en-la-contratacion-publica-y-facilitar-ejercicios-ciudadanos/</w:t>
      </w:r>
    </w:p>
    <w:sectPr w:rsidR="00CE1E33" w:rsidRPr="00CE1E3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487DB" w14:textId="77777777" w:rsidR="00406E0D" w:rsidRDefault="00406E0D" w:rsidP="002E0D3A">
      <w:pPr>
        <w:spacing w:after="0" w:line="240" w:lineRule="auto"/>
      </w:pPr>
      <w:r>
        <w:separator/>
      </w:r>
    </w:p>
  </w:endnote>
  <w:endnote w:type="continuationSeparator" w:id="0">
    <w:p w14:paraId="44176105" w14:textId="77777777" w:rsidR="00406E0D" w:rsidRDefault="00406E0D" w:rsidP="002E0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D0B77" w14:textId="77777777" w:rsidR="00406E0D" w:rsidRDefault="00406E0D" w:rsidP="002E0D3A">
      <w:pPr>
        <w:spacing w:after="0" w:line="240" w:lineRule="auto"/>
      </w:pPr>
      <w:r>
        <w:separator/>
      </w:r>
    </w:p>
  </w:footnote>
  <w:footnote w:type="continuationSeparator" w:id="0">
    <w:p w14:paraId="6D55D51C" w14:textId="77777777" w:rsidR="00406E0D" w:rsidRDefault="00406E0D" w:rsidP="002E0D3A">
      <w:pPr>
        <w:spacing w:after="0" w:line="240" w:lineRule="auto"/>
      </w:pPr>
      <w:r>
        <w:continuationSeparator/>
      </w:r>
    </w:p>
  </w:footnote>
  <w:footnote w:id="1">
    <w:p w14:paraId="0F43B667" w14:textId="67F91E77" w:rsidR="002E0D3A" w:rsidRDefault="002E0D3A">
      <w:pPr>
        <w:pStyle w:val="Textonotapie"/>
        <w:rPr>
          <w:lang w:val="es-ES"/>
        </w:rPr>
      </w:pPr>
      <w:r>
        <w:rPr>
          <w:rStyle w:val="Refdenotaalpie"/>
        </w:rPr>
        <w:footnoteRef/>
      </w:r>
      <w:r>
        <w:t xml:space="preserve"> </w:t>
      </w:r>
      <w:r>
        <w:rPr>
          <w:lang w:val="es-ES"/>
        </w:rPr>
        <w:t>Estudiante Especialización Contratación Estatal. Universidad del Sinú “Elías Bechara Zainum”.</w:t>
      </w:r>
    </w:p>
    <w:p w14:paraId="7449758F" w14:textId="77777777" w:rsidR="002E0D3A" w:rsidRPr="002E0D3A" w:rsidRDefault="002E0D3A">
      <w:pPr>
        <w:pStyle w:val="Textonotapie"/>
        <w:rPr>
          <w:lang w:val="es-ES"/>
        </w:rPr>
      </w:pPr>
    </w:p>
  </w:footnote>
  <w:footnote w:id="2">
    <w:p w14:paraId="4C12D714" w14:textId="2BBDB846" w:rsidR="002E0D3A" w:rsidRPr="002E0D3A" w:rsidRDefault="002E0D3A">
      <w:pPr>
        <w:pStyle w:val="Textonotapie"/>
        <w:rPr>
          <w:lang w:val="es-ES"/>
        </w:rPr>
      </w:pPr>
      <w:r>
        <w:rPr>
          <w:rStyle w:val="Refdenotaalpie"/>
        </w:rPr>
        <w:footnoteRef/>
      </w:r>
      <w:r>
        <w:t xml:space="preserve"> </w:t>
      </w:r>
      <w:r>
        <w:rPr>
          <w:lang w:val="es-ES"/>
        </w:rPr>
        <w:t>Estudiante Especialización Contratación Estatal. Universidad del Sinú “Elías Bechara Zainum”.</w:t>
      </w:r>
    </w:p>
  </w:footnote>
  <w:footnote w:id="3">
    <w:p w14:paraId="71FCF9F6" w14:textId="76F01A34" w:rsidR="002E0D3A" w:rsidRPr="002E0D3A" w:rsidRDefault="002E0D3A">
      <w:pPr>
        <w:pStyle w:val="Textonotapie"/>
        <w:rPr>
          <w:lang w:val="es-ES"/>
        </w:rPr>
      </w:pPr>
      <w:r>
        <w:rPr>
          <w:rStyle w:val="Refdenotaalpie"/>
        </w:rPr>
        <w:footnoteRef/>
      </w:r>
      <w:r>
        <w:t xml:space="preserve"> </w:t>
      </w:r>
      <w:r>
        <w:rPr>
          <w:lang w:val="es-ES"/>
        </w:rPr>
        <w:t xml:space="preserve">Docentes Programa de Derecho -Universidad del Sinú Seccional de Cartagena.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583"/>
    <w:rsid w:val="000728DE"/>
    <w:rsid w:val="000A6549"/>
    <w:rsid w:val="001733B2"/>
    <w:rsid w:val="002023DC"/>
    <w:rsid w:val="002E0D3A"/>
    <w:rsid w:val="00370DAF"/>
    <w:rsid w:val="00406E0D"/>
    <w:rsid w:val="00644B45"/>
    <w:rsid w:val="007859A0"/>
    <w:rsid w:val="007A5583"/>
    <w:rsid w:val="008459C7"/>
    <w:rsid w:val="009D5862"/>
    <w:rsid w:val="00CE1E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C72F0"/>
  <w15:chartTrackingRefBased/>
  <w15:docId w15:val="{68A471D6-6458-4720-9218-FF1450D8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2E0D3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E0D3A"/>
    <w:rPr>
      <w:sz w:val="20"/>
      <w:szCs w:val="20"/>
    </w:rPr>
  </w:style>
  <w:style w:type="character" w:styleId="Refdenotaalpie">
    <w:name w:val="footnote reference"/>
    <w:basedOn w:val="Fuentedeprrafopredeter"/>
    <w:uiPriority w:val="99"/>
    <w:semiHidden/>
    <w:unhideWhenUsed/>
    <w:rsid w:val="002E0D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65C8D-542A-49A7-8DAB-529BB4AA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4010</Words>
  <Characters>22059</Characters>
  <Application>Microsoft Office Word</Application>
  <DocSecurity>0</DocSecurity>
  <Lines>183</Lines>
  <Paragraphs>52</Paragraphs>
  <ScaleCrop>false</ScaleCrop>
  <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Hernández Dager Hernández Dager</dc:creator>
  <cp:keywords/>
  <dc:description/>
  <cp:lastModifiedBy>Benitez Izquierdo,Martha Cecilia</cp:lastModifiedBy>
  <cp:revision>3</cp:revision>
  <dcterms:created xsi:type="dcterms:W3CDTF">2026-05-02T01:00:00Z</dcterms:created>
  <dcterms:modified xsi:type="dcterms:W3CDTF">2026-07-14T17:13:00Z</dcterms:modified>
</cp:coreProperties>
</file>