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A9CCB" w14:textId="77777777" w:rsidR="00951E2D" w:rsidRDefault="00951E2D">
      <w:pPr>
        <w:spacing w:line="360" w:lineRule="auto"/>
        <w:jc w:val="center"/>
        <w:rPr>
          <w:rFonts w:ascii="Arial" w:hAnsi="Arial" w:cs="Arial"/>
          <w:b/>
          <w:bCs/>
          <w:i/>
          <w:iCs/>
          <w:sz w:val="24"/>
          <w:szCs w:val="24"/>
        </w:rPr>
      </w:pPr>
    </w:p>
    <w:p w14:paraId="1BAC6F89" w14:textId="3E1924EE" w:rsidR="00C17147" w:rsidRDefault="008D0971">
      <w:pPr>
        <w:spacing w:line="360" w:lineRule="auto"/>
        <w:jc w:val="center"/>
        <w:rPr>
          <w:rFonts w:ascii="Arial" w:hAnsi="Arial" w:cs="Arial"/>
          <w:b/>
          <w:bCs/>
          <w:i/>
          <w:iCs/>
          <w:sz w:val="24"/>
          <w:szCs w:val="24"/>
        </w:rPr>
      </w:pPr>
      <w:r>
        <w:rPr>
          <w:rFonts w:ascii="Arial" w:hAnsi="Arial" w:cs="Arial"/>
          <w:b/>
          <w:bCs/>
          <w:i/>
          <w:iCs/>
          <w:sz w:val="24"/>
          <w:szCs w:val="24"/>
        </w:rPr>
        <w:t>EL SENTIDO DEL LEGISLADOR FRENTE AL CONTRATO DE PRESTACIÓN DE SERVICIOS EN LA LEY 80 DE 1993: EFICACIA JURÍDICA, IMPACTO EN EL ODS 8 (TRABAJO DECENTE Y CRECIMIENTO ECONÓMICO) Y TENSIONES CON EL PRINCIPIO DE TRANSPARENCIA.</w:t>
      </w:r>
    </w:p>
    <w:p w14:paraId="65BF7F68" w14:textId="77777777" w:rsidR="00951E2D" w:rsidRDefault="00951E2D">
      <w:pPr>
        <w:spacing w:line="360" w:lineRule="auto"/>
        <w:jc w:val="right"/>
        <w:rPr>
          <w:rFonts w:ascii="Arial" w:hAnsi="Arial" w:cs="Arial"/>
          <w:i/>
          <w:iCs/>
          <w:sz w:val="24"/>
          <w:szCs w:val="24"/>
        </w:rPr>
      </w:pPr>
    </w:p>
    <w:p w14:paraId="413F9CDB" w14:textId="0A18980A" w:rsidR="00C17147" w:rsidRDefault="00951E2D">
      <w:pPr>
        <w:spacing w:line="360" w:lineRule="auto"/>
        <w:jc w:val="right"/>
        <w:rPr>
          <w:rFonts w:ascii="Arial" w:hAnsi="Arial" w:cs="Arial"/>
          <w:i/>
          <w:iCs/>
          <w:sz w:val="24"/>
          <w:szCs w:val="24"/>
        </w:rPr>
      </w:pPr>
      <w:r>
        <w:rPr>
          <w:rFonts w:ascii="Arial" w:hAnsi="Arial" w:cs="Arial"/>
          <w:i/>
          <w:iCs/>
          <w:sz w:val="24"/>
          <w:szCs w:val="24"/>
        </w:rPr>
        <w:t xml:space="preserve">Autora: </w:t>
      </w:r>
      <w:r w:rsidR="008D0971">
        <w:rPr>
          <w:rFonts w:ascii="Arial" w:hAnsi="Arial" w:cs="Arial"/>
          <w:i/>
          <w:iCs/>
          <w:sz w:val="24"/>
          <w:szCs w:val="24"/>
        </w:rPr>
        <w:t>KARINA PADILLA ARIZA</w:t>
      </w:r>
      <w:r>
        <w:rPr>
          <w:rStyle w:val="Refdenotaalpie"/>
          <w:rFonts w:ascii="Arial" w:hAnsi="Arial" w:cs="Arial"/>
          <w:i/>
          <w:iCs/>
          <w:sz w:val="24"/>
          <w:szCs w:val="24"/>
        </w:rPr>
        <w:footnoteReference w:id="1"/>
      </w:r>
    </w:p>
    <w:p w14:paraId="6CB0EF10" w14:textId="77777777" w:rsidR="00951E2D" w:rsidRDefault="00951E2D">
      <w:pPr>
        <w:spacing w:line="360" w:lineRule="auto"/>
        <w:jc w:val="right"/>
        <w:rPr>
          <w:rFonts w:ascii="Arial" w:hAnsi="Arial" w:cs="Arial"/>
          <w:i/>
          <w:iCs/>
          <w:sz w:val="24"/>
          <w:szCs w:val="24"/>
        </w:rPr>
      </w:pPr>
    </w:p>
    <w:p w14:paraId="007E87C2" w14:textId="736D8039" w:rsidR="00951E2D" w:rsidRDefault="00951E2D">
      <w:pPr>
        <w:spacing w:line="360" w:lineRule="auto"/>
        <w:jc w:val="right"/>
        <w:rPr>
          <w:rFonts w:ascii="Arial" w:hAnsi="Arial" w:cs="Arial"/>
          <w:i/>
          <w:iCs/>
          <w:sz w:val="24"/>
          <w:szCs w:val="24"/>
        </w:rPr>
      </w:pPr>
      <w:r>
        <w:rPr>
          <w:rFonts w:ascii="Arial" w:hAnsi="Arial" w:cs="Arial"/>
          <w:i/>
          <w:iCs/>
          <w:sz w:val="24"/>
          <w:szCs w:val="24"/>
        </w:rPr>
        <w:t>Tutores:  Laura Hernández D. y María Reyes</w:t>
      </w:r>
      <w:r>
        <w:rPr>
          <w:rStyle w:val="Refdenotaalpie"/>
          <w:rFonts w:ascii="Arial" w:hAnsi="Arial" w:cs="Arial"/>
          <w:i/>
          <w:iCs/>
          <w:sz w:val="24"/>
          <w:szCs w:val="24"/>
        </w:rPr>
        <w:footnoteReference w:id="2"/>
      </w:r>
    </w:p>
    <w:p w14:paraId="162ACBC6" w14:textId="77777777" w:rsidR="00951E2D" w:rsidRDefault="00951E2D">
      <w:pPr>
        <w:spacing w:line="360" w:lineRule="auto"/>
        <w:jc w:val="both"/>
        <w:rPr>
          <w:rFonts w:ascii="Arial" w:hAnsi="Arial" w:cs="Arial"/>
          <w:b/>
          <w:bCs/>
          <w:i/>
          <w:iCs/>
          <w:sz w:val="24"/>
          <w:szCs w:val="24"/>
        </w:rPr>
      </w:pPr>
    </w:p>
    <w:p w14:paraId="40715F57" w14:textId="5D4E0BE2" w:rsidR="00C17147" w:rsidRDefault="008D0971">
      <w:pPr>
        <w:spacing w:line="360" w:lineRule="auto"/>
        <w:jc w:val="both"/>
        <w:rPr>
          <w:rFonts w:ascii="Arial" w:hAnsi="Arial" w:cs="Arial"/>
          <w:b/>
          <w:bCs/>
          <w:i/>
          <w:iCs/>
          <w:sz w:val="24"/>
          <w:szCs w:val="24"/>
        </w:rPr>
      </w:pPr>
      <w:r>
        <w:rPr>
          <w:rFonts w:ascii="Arial" w:hAnsi="Arial" w:cs="Arial"/>
          <w:b/>
          <w:bCs/>
          <w:i/>
          <w:iCs/>
          <w:sz w:val="24"/>
          <w:szCs w:val="24"/>
        </w:rPr>
        <w:t>Resumen</w:t>
      </w:r>
    </w:p>
    <w:p w14:paraId="39B41AB4" w14:textId="77777777" w:rsidR="00951E2D" w:rsidRDefault="00951E2D">
      <w:pPr>
        <w:spacing w:line="360" w:lineRule="auto"/>
        <w:jc w:val="both"/>
        <w:rPr>
          <w:rFonts w:ascii="Arial" w:hAnsi="Arial" w:cs="Arial"/>
          <w:sz w:val="24"/>
          <w:szCs w:val="24"/>
        </w:rPr>
      </w:pPr>
    </w:p>
    <w:p w14:paraId="58636804" w14:textId="02D82946" w:rsidR="00C17147" w:rsidRDefault="008D0971" w:rsidP="00951E2D">
      <w:pPr>
        <w:spacing w:line="360" w:lineRule="auto"/>
        <w:ind w:firstLine="708"/>
        <w:jc w:val="both"/>
        <w:rPr>
          <w:rFonts w:ascii="Arial" w:hAnsi="Arial" w:cs="Arial"/>
          <w:sz w:val="24"/>
          <w:szCs w:val="24"/>
        </w:rPr>
      </w:pPr>
      <w:r>
        <w:rPr>
          <w:rFonts w:ascii="Arial" w:hAnsi="Arial" w:cs="Arial"/>
          <w:sz w:val="24"/>
          <w:szCs w:val="24"/>
        </w:rPr>
        <w:t>El presente artículo aborda una revisión crítica del sentido del legislador frente al contrato de prestación de servicios en la Ley 80 de 1993, analizando su eficacia jurídica, sus repercusiones en el Objetivo de Desarrollo Sostenible (ODS) 8: Trabajo decente y crecimiento económico, y las tensiones que genera con el principio de transparencia en la contratación estatal. A partir de un enfoque cualitativo, con revisión documental y análisis jurisprudencial del Consejo de Estado y la Corte Constitucional, se</w:t>
      </w:r>
      <w:r>
        <w:rPr>
          <w:rFonts w:ascii="Arial" w:hAnsi="Arial" w:cs="Arial"/>
          <w:sz w:val="24"/>
          <w:szCs w:val="24"/>
        </w:rPr>
        <w:t xml:space="preserve"> evidencia cómo la figura contractual ha sido objeto de una aplicación desnaturalizada que, en muchos casos, oculta relaciones laborales encubiertas y precariza las condiciones del trabajador vinculado al Estado. El artículo, producto de un ejercicio investigativo, examina la intencionalidad del legislador en la Ley 80 de 1993, la evolución normativa posterior (Leyes 1150 de 2007 y 1882 de 2018), y los efectos socioeconómicos derivados de la instrumentalización del contrato por prestación de servicios. </w:t>
      </w:r>
    </w:p>
    <w:p w14:paraId="789A525E" w14:textId="77777777" w:rsidR="00C17147" w:rsidRDefault="008D0971">
      <w:pPr>
        <w:spacing w:line="360" w:lineRule="auto"/>
        <w:jc w:val="both"/>
        <w:rPr>
          <w:rFonts w:ascii="Arial" w:hAnsi="Arial" w:cs="Arial"/>
          <w:sz w:val="24"/>
          <w:szCs w:val="24"/>
        </w:rPr>
      </w:pPr>
      <w:r>
        <w:rPr>
          <w:rFonts w:ascii="Arial" w:hAnsi="Arial" w:cs="Arial"/>
          <w:sz w:val="24"/>
          <w:szCs w:val="24"/>
        </w:rPr>
        <w:lastRenderedPageBreak/>
        <w:t>Se reflexiona, además, sobre la compatibilidad de esta práctica con el principio de transparencia, la eficiencia administrativa y los compromisos internacionales de Colombia en materia de trabajo digno. Finalmente, se propone una lectura integradora entre el Derecho Administrativo y el Derecho Laboral, en clave de desarrollo sostenible, que permita reinterpretar la función del contrato estatal desde una perspectiva de responsabilidad social y justicia contractual.</w:t>
      </w:r>
    </w:p>
    <w:p w14:paraId="455FE03C" w14:textId="77777777" w:rsidR="00C17147" w:rsidRDefault="00C17147">
      <w:pPr>
        <w:spacing w:line="360" w:lineRule="auto"/>
        <w:jc w:val="both"/>
        <w:rPr>
          <w:rFonts w:ascii="Arial" w:hAnsi="Arial" w:cs="Arial"/>
          <w:sz w:val="24"/>
          <w:szCs w:val="24"/>
        </w:rPr>
      </w:pPr>
    </w:p>
    <w:p w14:paraId="0A2A3A43" w14:textId="77777777" w:rsidR="00C17147" w:rsidRDefault="00C17147">
      <w:pPr>
        <w:spacing w:line="360" w:lineRule="auto"/>
        <w:jc w:val="both"/>
        <w:rPr>
          <w:rFonts w:ascii="Arial" w:hAnsi="Arial" w:cs="Arial"/>
          <w:sz w:val="24"/>
          <w:szCs w:val="24"/>
        </w:rPr>
      </w:pPr>
    </w:p>
    <w:p w14:paraId="1109D55D" w14:textId="77777777" w:rsidR="00C17147" w:rsidRDefault="008D0971">
      <w:pPr>
        <w:spacing w:line="360" w:lineRule="auto"/>
        <w:jc w:val="both"/>
        <w:rPr>
          <w:rFonts w:ascii="Arial" w:hAnsi="Arial" w:cs="Arial"/>
          <w:b/>
          <w:bCs/>
          <w:i/>
          <w:iCs/>
          <w:sz w:val="24"/>
          <w:szCs w:val="24"/>
          <w:lang w:val="en-US"/>
        </w:rPr>
      </w:pPr>
      <w:r>
        <w:rPr>
          <w:rFonts w:ascii="Arial" w:hAnsi="Arial" w:cs="Arial"/>
          <w:b/>
          <w:bCs/>
          <w:i/>
          <w:iCs/>
          <w:sz w:val="24"/>
          <w:szCs w:val="24"/>
          <w:lang w:val="en-US"/>
        </w:rPr>
        <w:t>Abstract</w:t>
      </w:r>
    </w:p>
    <w:p w14:paraId="414B0D07" w14:textId="77777777" w:rsidR="00C17147" w:rsidRDefault="008D0971">
      <w:pPr>
        <w:spacing w:line="360" w:lineRule="auto"/>
        <w:jc w:val="both"/>
        <w:rPr>
          <w:rFonts w:ascii="Arial" w:hAnsi="Arial" w:cs="Arial"/>
          <w:sz w:val="24"/>
          <w:szCs w:val="24"/>
          <w:lang w:val="en-US"/>
        </w:rPr>
      </w:pPr>
      <w:r>
        <w:rPr>
          <w:rFonts w:ascii="Arial" w:hAnsi="Arial" w:cs="Arial"/>
          <w:sz w:val="24"/>
          <w:szCs w:val="24"/>
          <w:lang w:val="en-US"/>
        </w:rPr>
        <w:t>This article critically reviews the legislative approach to the service provision contract in Law 80 of 1993, analyzing its legal effectiveness, its impact on Sustainable Development Goal (SDG) 8: Decent Work and Economic Growth, and the tensions it generates with the principle of transparency in government contracting. Using a qualitative approach, with a documentary review and jurisprudential analysis by the Council of State and the Constitutional Court, it demonstrates how the contractual concept has bee</w:t>
      </w:r>
      <w:r>
        <w:rPr>
          <w:rFonts w:ascii="Arial" w:hAnsi="Arial" w:cs="Arial"/>
          <w:sz w:val="24"/>
          <w:szCs w:val="24"/>
          <w:lang w:val="en-US"/>
        </w:rPr>
        <w:t xml:space="preserve">n subject to a distorted application that, in many cases, conceals hidden employment relationships and undermines the conditions of workers employed by the state. The article, the product of research, examines the legislative intent behind Law 80 of 1993, subsequent regulatory developments (Laws 1150 of 2007 and 1882 of 2018), and the socioeconomic effects derived from the instrumentalization of the service provision contract. The paper also reflects on the compatibility of this practice with the principle </w:t>
      </w:r>
      <w:r>
        <w:rPr>
          <w:rFonts w:ascii="Arial" w:hAnsi="Arial" w:cs="Arial"/>
          <w:sz w:val="24"/>
          <w:szCs w:val="24"/>
          <w:lang w:val="en-US"/>
        </w:rPr>
        <w:t>of transparency, administrative efficiency, and Colombia's international commitments to decent work. Finally, it proposes an integrative approach between administrative law and labor law, with a focus on sustainable development, that allows for a reinterpretation of the role of state contracts from the perspective of social responsibility and contractual justice.</w:t>
      </w:r>
    </w:p>
    <w:p w14:paraId="773FA0E1" w14:textId="77777777" w:rsidR="00C17147" w:rsidRDefault="00C17147">
      <w:pPr>
        <w:spacing w:line="360" w:lineRule="auto"/>
        <w:jc w:val="both"/>
        <w:rPr>
          <w:rFonts w:ascii="Arial" w:hAnsi="Arial" w:cs="Arial"/>
          <w:b/>
          <w:bCs/>
          <w:sz w:val="24"/>
          <w:szCs w:val="24"/>
          <w:lang w:val="en-US"/>
        </w:rPr>
      </w:pPr>
    </w:p>
    <w:p w14:paraId="5F0BC1AF" w14:textId="77777777" w:rsidR="00C17147" w:rsidRDefault="008D0971">
      <w:pPr>
        <w:spacing w:line="360" w:lineRule="auto"/>
        <w:jc w:val="both"/>
        <w:rPr>
          <w:rFonts w:ascii="Arial" w:hAnsi="Arial" w:cs="Arial"/>
          <w:b/>
          <w:bCs/>
          <w:i/>
          <w:iCs/>
          <w:sz w:val="24"/>
          <w:szCs w:val="24"/>
        </w:rPr>
      </w:pPr>
      <w:r>
        <w:rPr>
          <w:rFonts w:ascii="Arial" w:hAnsi="Arial" w:cs="Arial"/>
          <w:b/>
          <w:bCs/>
          <w:i/>
          <w:iCs/>
          <w:sz w:val="24"/>
          <w:szCs w:val="24"/>
        </w:rPr>
        <w:t>Palabras clave</w:t>
      </w:r>
    </w:p>
    <w:p w14:paraId="611250C8" w14:textId="77777777" w:rsidR="00C17147" w:rsidRDefault="008D0971">
      <w:pPr>
        <w:spacing w:line="360" w:lineRule="auto"/>
        <w:jc w:val="both"/>
        <w:rPr>
          <w:rFonts w:ascii="Arial" w:hAnsi="Arial" w:cs="Arial"/>
          <w:sz w:val="24"/>
          <w:szCs w:val="24"/>
        </w:rPr>
      </w:pPr>
      <w:r>
        <w:rPr>
          <w:rFonts w:ascii="Arial" w:hAnsi="Arial" w:cs="Arial"/>
          <w:sz w:val="24"/>
          <w:szCs w:val="24"/>
        </w:rPr>
        <w:lastRenderedPageBreak/>
        <w:t>Contrato de prestación de servicios; Ley 80 de 1993; eficacia jurídica; principio de transparencia; ODS 8; trabajo decente; crecimiento económico; Consejo de Estado; responsabilidad social; desarrollo sostenible.</w:t>
      </w:r>
    </w:p>
    <w:p w14:paraId="16B1EC50" w14:textId="77777777" w:rsidR="00C17147" w:rsidRDefault="008D0971">
      <w:pPr>
        <w:spacing w:line="360" w:lineRule="auto"/>
        <w:jc w:val="both"/>
        <w:rPr>
          <w:rFonts w:ascii="Arial" w:hAnsi="Arial" w:cs="Arial"/>
          <w:b/>
          <w:bCs/>
          <w:sz w:val="24"/>
          <w:szCs w:val="24"/>
          <w:lang w:val="en-US"/>
        </w:rPr>
      </w:pPr>
      <w:r>
        <w:rPr>
          <w:rFonts w:ascii="Arial" w:hAnsi="Arial" w:cs="Arial"/>
          <w:b/>
          <w:bCs/>
          <w:sz w:val="24"/>
          <w:szCs w:val="24"/>
          <w:lang w:val="en-US"/>
        </w:rPr>
        <w:t>Keywords</w:t>
      </w:r>
    </w:p>
    <w:p w14:paraId="42C382DE" w14:textId="77777777" w:rsidR="00C17147" w:rsidRDefault="008D0971">
      <w:pPr>
        <w:spacing w:line="360" w:lineRule="auto"/>
        <w:jc w:val="both"/>
        <w:rPr>
          <w:rFonts w:ascii="Arial" w:hAnsi="Arial" w:cs="Arial"/>
          <w:sz w:val="24"/>
          <w:szCs w:val="24"/>
          <w:lang w:val="en-US"/>
        </w:rPr>
      </w:pPr>
      <w:r>
        <w:rPr>
          <w:rFonts w:ascii="Arial" w:hAnsi="Arial" w:cs="Arial"/>
          <w:sz w:val="24"/>
          <w:szCs w:val="24"/>
          <w:lang w:val="en-US"/>
        </w:rPr>
        <w:t>Service provision contract; Law 80 of 1993; legal effectiveness; transparency principle; SDG 8; decent work; economic growth; Council of State; social responsibility; sustainable development.</w:t>
      </w:r>
    </w:p>
    <w:p w14:paraId="61805544" w14:textId="77777777" w:rsidR="00C17147" w:rsidRDefault="00C17147">
      <w:pPr>
        <w:spacing w:line="360" w:lineRule="auto"/>
        <w:jc w:val="both"/>
        <w:rPr>
          <w:rFonts w:ascii="Arial" w:hAnsi="Arial" w:cs="Arial"/>
          <w:sz w:val="24"/>
          <w:szCs w:val="24"/>
          <w:lang w:val="en-US"/>
        </w:rPr>
      </w:pPr>
    </w:p>
    <w:p w14:paraId="1353EAA5" w14:textId="77777777" w:rsidR="00C17147" w:rsidRDefault="008D0971">
      <w:pPr>
        <w:spacing w:line="360" w:lineRule="auto"/>
        <w:jc w:val="both"/>
        <w:rPr>
          <w:rFonts w:ascii="Arial" w:hAnsi="Arial" w:cs="Arial"/>
          <w:b/>
          <w:bCs/>
          <w:i/>
          <w:iCs/>
          <w:sz w:val="24"/>
          <w:szCs w:val="24"/>
        </w:rPr>
      </w:pPr>
      <w:r>
        <w:rPr>
          <w:rFonts w:ascii="Arial" w:hAnsi="Arial" w:cs="Arial"/>
          <w:b/>
          <w:bCs/>
          <w:i/>
          <w:iCs/>
          <w:sz w:val="24"/>
          <w:szCs w:val="24"/>
        </w:rPr>
        <w:t>Introducción</w:t>
      </w:r>
    </w:p>
    <w:p w14:paraId="155D86B9" w14:textId="77777777" w:rsidR="00C17147" w:rsidRDefault="008D0971">
      <w:pPr>
        <w:spacing w:line="360" w:lineRule="auto"/>
        <w:jc w:val="both"/>
        <w:rPr>
          <w:rFonts w:ascii="Arial" w:hAnsi="Arial" w:cs="Arial"/>
          <w:sz w:val="24"/>
          <w:szCs w:val="24"/>
        </w:rPr>
      </w:pPr>
      <w:r>
        <w:rPr>
          <w:rFonts w:ascii="Arial" w:hAnsi="Arial" w:cs="Arial"/>
          <w:sz w:val="24"/>
          <w:szCs w:val="24"/>
        </w:rPr>
        <w:t xml:space="preserve">El contrato de prestación de servicios ha sido una de las figuras más utilizadas dentro de la contratación estatal en Colombia, particularmente desde la expedición de la Ley 80 de 1993, conocida como el Estatuto General de Contratación de la Administración Pública. </w:t>
      </w:r>
    </w:p>
    <w:p w14:paraId="40062553" w14:textId="77777777" w:rsidR="00C17147" w:rsidRDefault="008D0971">
      <w:pPr>
        <w:spacing w:line="360" w:lineRule="auto"/>
        <w:jc w:val="both"/>
        <w:rPr>
          <w:rFonts w:ascii="Arial" w:hAnsi="Arial" w:cs="Arial"/>
          <w:sz w:val="24"/>
          <w:szCs w:val="24"/>
        </w:rPr>
      </w:pPr>
      <w:r>
        <w:rPr>
          <w:rFonts w:ascii="Arial" w:hAnsi="Arial" w:cs="Arial"/>
          <w:sz w:val="24"/>
          <w:szCs w:val="24"/>
        </w:rPr>
        <w:t>Esta modalidad, en principio excepcional y destinada a suplir necesidades especializadas de la Administración, ha devenido en una práctica recurrente, utilizada muchas veces para vincular personal de apoyo administrativo y técnico bajo condiciones que distan del trabajo decente y de las garantías laborales establecidas en la Constitución y en los convenios internacionales suscritos por el Estado colombiano. Esta paradoja abre una tensión evidente entre el espíritu del legislador que buscaba la eficiencia, l</w:t>
      </w:r>
      <w:r>
        <w:rPr>
          <w:rFonts w:ascii="Arial" w:hAnsi="Arial" w:cs="Arial"/>
          <w:sz w:val="24"/>
          <w:szCs w:val="24"/>
        </w:rPr>
        <w:t>a transparencia y la temporalidad del vínculo y la práctica administrativa que, en muchos casos, ha precarizado el trabajo y desnaturalizado la relación contractual.</w:t>
      </w:r>
    </w:p>
    <w:p w14:paraId="46D2AAE2" w14:textId="77777777" w:rsidR="00C17147" w:rsidRDefault="008D0971">
      <w:pPr>
        <w:spacing w:line="360" w:lineRule="auto"/>
        <w:jc w:val="both"/>
        <w:rPr>
          <w:rFonts w:ascii="Arial" w:hAnsi="Arial" w:cs="Arial"/>
          <w:sz w:val="24"/>
          <w:szCs w:val="24"/>
        </w:rPr>
      </w:pPr>
      <w:r>
        <w:rPr>
          <w:rFonts w:ascii="Arial" w:hAnsi="Arial" w:cs="Arial"/>
          <w:sz w:val="24"/>
          <w:szCs w:val="24"/>
        </w:rPr>
        <w:t>La pregunta que orienta este artículo científico es la siguiente: ¿hasta qué punto el sentido original del legislador en la Ley 80 de 1993 ha sido distorsionado en la aplicación del contrato de prestación de servicios, afectando tanto su eficacia jurídica como los principios de transparencia y trabajo decente consagrados en el ODS 8 de la Agenda 2030?</w:t>
      </w:r>
    </w:p>
    <w:p w14:paraId="1AF26FC1" w14:textId="77777777" w:rsidR="00C17147" w:rsidRDefault="008D0971">
      <w:pPr>
        <w:spacing w:line="360" w:lineRule="auto"/>
        <w:jc w:val="both"/>
        <w:rPr>
          <w:rFonts w:ascii="Arial" w:hAnsi="Arial" w:cs="Arial"/>
          <w:sz w:val="24"/>
          <w:szCs w:val="24"/>
        </w:rPr>
      </w:pPr>
      <w:r>
        <w:rPr>
          <w:rFonts w:ascii="Arial" w:hAnsi="Arial" w:cs="Arial"/>
          <w:sz w:val="24"/>
          <w:szCs w:val="24"/>
        </w:rPr>
        <w:lastRenderedPageBreak/>
        <w:t xml:space="preserve">Partiendo de esta pregunta, la investigación pretende analizar el trasfondo jurídico y social del contrato de prestación de servicios, abordando su evolución normativa, su interpretación jurisprudencial y sus efectos en la estructura laboral del Estado. No se trata únicamente de identificar fallas en la aplicación de la norma, sino de comprender cómo un instrumento jurídico diseñado para promover la eficiencia en la gestión pública terminó convirtiéndose, en muchos escenarios, en un mecanismo que fragmenta </w:t>
      </w:r>
      <w:r>
        <w:rPr>
          <w:rFonts w:ascii="Arial" w:hAnsi="Arial" w:cs="Arial"/>
          <w:sz w:val="24"/>
          <w:szCs w:val="24"/>
        </w:rPr>
        <w:t>la estabilidad laboral, diluye la responsabilidad del Estado como empleador y debilita la transparencia administrativa.</w:t>
      </w:r>
    </w:p>
    <w:p w14:paraId="61B5F5CF" w14:textId="77777777" w:rsidR="00C17147" w:rsidRDefault="008D0971">
      <w:pPr>
        <w:spacing w:line="360" w:lineRule="auto"/>
        <w:jc w:val="both"/>
        <w:rPr>
          <w:rFonts w:ascii="Arial" w:hAnsi="Arial" w:cs="Arial"/>
          <w:sz w:val="24"/>
          <w:szCs w:val="24"/>
        </w:rPr>
      </w:pPr>
      <w:r>
        <w:rPr>
          <w:rFonts w:ascii="Arial" w:hAnsi="Arial" w:cs="Arial"/>
          <w:sz w:val="24"/>
          <w:szCs w:val="24"/>
        </w:rPr>
        <w:t xml:space="preserve">El contexto de la contratación estatal en Colombia revela un panorama de amplia dependencia del contrato de prestación de servicios. Según datos del Departamento Administrativo de la Función Pública, en los últimos años más del 30 % de los vínculos con el Estado corresponden a esta modalidad, incluso para funciones permanentes (DAFP, 2022). Este fenómeno no solo plantea un problema jurídico, sino también ético y político: la instrumentalización del contrato ha configurado una nueva forma de empleo público, </w:t>
      </w:r>
      <w:r>
        <w:rPr>
          <w:rFonts w:ascii="Arial" w:hAnsi="Arial" w:cs="Arial"/>
          <w:sz w:val="24"/>
          <w:szCs w:val="24"/>
        </w:rPr>
        <w:t>sin las garantías de estabilidad, seguridad social y dignidad que exige el artículo 53 de la Constitución Política de 1991.</w:t>
      </w:r>
    </w:p>
    <w:p w14:paraId="1CA3F6F8" w14:textId="77777777" w:rsidR="00C17147" w:rsidRDefault="008D0971">
      <w:pPr>
        <w:spacing w:line="360" w:lineRule="auto"/>
        <w:jc w:val="both"/>
        <w:rPr>
          <w:rFonts w:ascii="Arial" w:hAnsi="Arial" w:cs="Arial"/>
          <w:sz w:val="24"/>
          <w:szCs w:val="24"/>
        </w:rPr>
      </w:pPr>
      <w:r>
        <w:rPr>
          <w:rFonts w:ascii="Arial" w:hAnsi="Arial" w:cs="Arial"/>
          <w:sz w:val="24"/>
          <w:szCs w:val="24"/>
        </w:rPr>
        <w:t>En este escenario, el análisis adquiere relevancia frente al Objetivo de Desarrollo Sostenible 8 (ODS 8), promovido por la Organización de las Naciones Unidas (2015), el cual insta a los Estados a fomentar el trabajo decente y el crecimiento económico inclusivo. Paradójicamente, mientras Colombia se compromete internacionalmente a promover condiciones laborales dignas, el uso desmedido de la figura contractual estatal parece ir en contravía de este propósito. El desafío, por tanto, no es solo jurídico, sino</w:t>
      </w:r>
      <w:r>
        <w:rPr>
          <w:rFonts w:ascii="Arial" w:hAnsi="Arial" w:cs="Arial"/>
          <w:sz w:val="24"/>
          <w:szCs w:val="24"/>
        </w:rPr>
        <w:t xml:space="preserve"> también de coherencia institucional y de responsabilidad social del Estado.</w:t>
      </w:r>
    </w:p>
    <w:p w14:paraId="594649BB" w14:textId="77777777" w:rsidR="00C17147" w:rsidRDefault="00C17147">
      <w:pPr>
        <w:spacing w:line="360" w:lineRule="auto"/>
        <w:jc w:val="both"/>
        <w:rPr>
          <w:rFonts w:ascii="Arial" w:hAnsi="Arial" w:cs="Arial"/>
          <w:sz w:val="24"/>
          <w:szCs w:val="24"/>
        </w:rPr>
      </w:pPr>
    </w:p>
    <w:p w14:paraId="78876944" w14:textId="77777777" w:rsidR="00C17147" w:rsidRDefault="008D0971">
      <w:pPr>
        <w:spacing w:line="360" w:lineRule="auto"/>
        <w:jc w:val="both"/>
        <w:rPr>
          <w:rFonts w:ascii="Arial" w:hAnsi="Arial" w:cs="Arial"/>
          <w:sz w:val="24"/>
          <w:szCs w:val="24"/>
        </w:rPr>
      </w:pPr>
      <w:r>
        <w:rPr>
          <w:rFonts w:ascii="Arial" w:hAnsi="Arial" w:cs="Arial"/>
          <w:sz w:val="24"/>
          <w:szCs w:val="24"/>
        </w:rPr>
        <w:t xml:space="preserve">La jurisprudencia del Consejo de Estado ha reiterado que el contrato de prestación de servicios no debe emplearse para suplir funciones permanentes ni generar dependencia laboral (Consejo de Estado, Sección Tercera, 2013). No obstante, en la práctica, la frontera entre la autonomía del contratista y la subordinación del empleado se ha vuelto cada vez más difusa. Esta ambigüedad ha generado </w:t>
      </w:r>
      <w:r>
        <w:rPr>
          <w:rFonts w:ascii="Arial" w:hAnsi="Arial" w:cs="Arial"/>
          <w:sz w:val="24"/>
          <w:szCs w:val="24"/>
        </w:rPr>
        <w:lastRenderedPageBreak/>
        <w:t>litigiosidad creciente, con múltiples reclamaciones por “contratos realidad”, donde se busca el reconocimiento judicial de derechos laborales vulnerados bajo la apariencia de un contrato civil o administrativo.</w:t>
      </w:r>
    </w:p>
    <w:p w14:paraId="7DDE49D7" w14:textId="77777777" w:rsidR="00C17147" w:rsidRDefault="008D0971">
      <w:pPr>
        <w:spacing w:line="360" w:lineRule="auto"/>
        <w:jc w:val="both"/>
        <w:rPr>
          <w:rFonts w:ascii="Arial" w:hAnsi="Arial" w:cs="Arial"/>
          <w:sz w:val="24"/>
          <w:szCs w:val="24"/>
        </w:rPr>
      </w:pPr>
      <w:r>
        <w:rPr>
          <w:rFonts w:ascii="Arial" w:hAnsi="Arial" w:cs="Arial"/>
          <w:sz w:val="24"/>
          <w:szCs w:val="24"/>
        </w:rPr>
        <w:t>De este modo, la investigación se enmarca en un debate que trasciende lo normativo: examina la eficacia jurídica de la norma frente a su aplicación real y las tensiones entre el principio de transparencia y el principio de trabajo digno. En otras palabras, el estudio pretende indagar si el diseño normativo del contrato cumple su finalidad de garantizar una contratación pública eficiente, transparente y equitativa, o si, por el contrario, ha derivado en una herramienta de opacidad institucional y desprotecci</w:t>
      </w:r>
      <w:r>
        <w:rPr>
          <w:rFonts w:ascii="Arial" w:hAnsi="Arial" w:cs="Arial"/>
          <w:sz w:val="24"/>
          <w:szCs w:val="24"/>
        </w:rPr>
        <w:t>ón laboral.</w:t>
      </w:r>
    </w:p>
    <w:p w14:paraId="53C3ABEC" w14:textId="77777777" w:rsidR="00C17147" w:rsidRDefault="008D0971">
      <w:pPr>
        <w:spacing w:line="360" w:lineRule="auto"/>
        <w:jc w:val="both"/>
        <w:rPr>
          <w:rFonts w:ascii="Arial" w:hAnsi="Arial" w:cs="Arial"/>
          <w:sz w:val="24"/>
          <w:szCs w:val="24"/>
        </w:rPr>
      </w:pPr>
      <w:r>
        <w:rPr>
          <w:rFonts w:ascii="Arial" w:hAnsi="Arial" w:cs="Arial"/>
          <w:sz w:val="24"/>
          <w:szCs w:val="24"/>
        </w:rPr>
        <w:t>Desde una perspectiva metodológica, el artículo adopta un enfoque cualitativo y hermenéutico, sustentado en la revisión de fuentes normativas, jurisprudenciales y doctrinales, así como en el análisis de informes institucionales y compromisos internacionales en materia de desarrollo sostenible. Esta aproximación permite una lectura crítica del contrato de prestación de servicios no solo como categoría jurídica, sino también como fenómeno social y económico que incide directamente en la calidad del empleo púb</w:t>
      </w:r>
      <w:r>
        <w:rPr>
          <w:rFonts w:ascii="Arial" w:hAnsi="Arial" w:cs="Arial"/>
          <w:sz w:val="24"/>
          <w:szCs w:val="24"/>
        </w:rPr>
        <w:t>lico y en el cumplimiento de los estándares de gobernanza democrática.</w:t>
      </w:r>
    </w:p>
    <w:p w14:paraId="14A76F74" w14:textId="77777777" w:rsidR="00C17147" w:rsidRDefault="008D0971">
      <w:pPr>
        <w:spacing w:line="360" w:lineRule="auto"/>
        <w:jc w:val="both"/>
        <w:rPr>
          <w:rFonts w:ascii="Arial" w:hAnsi="Arial" w:cs="Arial"/>
          <w:sz w:val="24"/>
          <w:szCs w:val="24"/>
        </w:rPr>
      </w:pPr>
      <w:r>
        <w:rPr>
          <w:rFonts w:ascii="Arial" w:hAnsi="Arial" w:cs="Arial"/>
          <w:sz w:val="24"/>
          <w:szCs w:val="24"/>
        </w:rPr>
        <w:t>En última instancia, este trabajo busca contribuir a una reflexión más profunda sobre la función social del Derecho Administrativo en la consolidación de un Estado garante de derechos. Si la Ley 80 de 1993 nació bajo el ideal de la transparencia y la eficiencia, hoy se impone la necesidad de reexaminar su sentido a la luz de los desafíos contemporáneos: la precarización del empleo estatal, la fragmentación del sistema laboral público y la urgencia de alinear las políticas contractuales con los principios de</w:t>
      </w:r>
      <w:r>
        <w:rPr>
          <w:rFonts w:ascii="Arial" w:hAnsi="Arial" w:cs="Arial"/>
          <w:sz w:val="24"/>
          <w:szCs w:val="24"/>
        </w:rPr>
        <w:t>l desarrollo sostenible.</w:t>
      </w:r>
    </w:p>
    <w:p w14:paraId="766B6C23" w14:textId="77777777" w:rsidR="00C17147" w:rsidRDefault="008D0971">
      <w:pPr>
        <w:spacing w:line="360" w:lineRule="auto"/>
        <w:jc w:val="both"/>
        <w:rPr>
          <w:rFonts w:ascii="Arial" w:hAnsi="Arial" w:cs="Arial"/>
          <w:sz w:val="24"/>
          <w:szCs w:val="24"/>
        </w:rPr>
      </w:pPr>
      <w:r>
        <w:rPr>
          <w:rFonts w:ascii="Arial" w:hAnsi="Arial" w:cs="Arial"/>
          <w:sz w:val="24"/>
          <w:szCs w:val="24"/>
        </w:rPr>
        <w:t>En este sentido, el artículo no se limita a señalar los desajustes normativos, sino que invita a repensar el rol del legislador, del juez administrativo y de la academia en la construcción de una contratación pública más justa, coherente y humana.</w:t>
      </w:r>
    </w:p>
    <w:p w14:paraId="122060FF" w14:textId="77777777" w:rsidR="00C17147" w:rsidRDefault="00C17147">
      <w:pPr>
        <w:spacing w:line="360" w:lineRule="auto"/>
        <w:jc w:val="both"/>
        <w:rPr>
          <w:rFonts w:ascii="Arial" w:hAnsi="Arial" w:cs="Arial"/>
          <w:sz w:val="24"/>
          <w:szCs w:val="24"/>
        </w:rPr>
      </w:pPr>
    </w:p>
    <w:p w14:paraId="7F35C7DC" w14:textId="77777777" w:rsidR="00C17147" w:rsidRDefault="008D0971">
      <w:pPr>
        <w:spacing w:line="360" w:lineRule="auto"/>
        <w:jc w:val="both"/>
        <w:rPr>
          <w:rFonts w:ascii="Arial" w:hAnsi="Arial" w:cs="Arial"/>
          <w:sz w:val="24"/>
          <w:szCs w:val="24"/>
        </w:rPr>
      </w:pPr>
      <w:r>
        <w:rPr>
          <w:rFonts w:ascii="Arial" w:hAnsi="Arial" w:cs="Arial"/>
          <w:b/>
          <w:bCs/>
          <w:sz w:val="24"/>
          <w:szCs w:val="24"/>
        </w:rPr>
        <w:lastRenderedPageBreak/>
        <w:t>El sentido originario del legislador en la Ley 80 de 1993.</w:t>
      </w:r>
    </w:p>
    <w:p w14:paraId="4D415016" w14:textId="77777777" w:rsidR="00C17147" w:rsidRDefault="008D0971">
      <w:pPr>
        <w:spacing w:line="360" w:lineRule="auto"/>
        <w:jc w:val="both"/>
        <w:rPr>
          <w:rFonts w:ascii="Arial" w:hAnsi="Arial" w:cs="Arial"/>
          <w:sz w:val="24"/>
          <w:szCs w:val="24"/>
        </w:rPr>
      </w:pPr>
      <w:r>
        <w:rPr>
          <w:rFonts w:ascii="Arial" w:hAnsi="Arial" w:cs="Arial"/>
          <w:sz w:val="24"/>
          <w:szCs w:val="24"/>
        </w:rPr>
        <w:t>La Ley 80 de 1993 surge en un contexto de transformación institucional del Estado colombiano, marcado por la búsqueda de eficiencia, moralidad y transparencia en la gestión pública. Inspirada en los postulados del artículo 209 de la Constitución Política, esta ley pretendía redefinir la relación entre el Estado y los particulares, introduciendo mecanismos que garantizaran la correcta ejecución de los recursos públicos y la profesionalización de la administración (Congreso de la República, 1993).</w:t>
      </w:r>
    </w:p>
    <w:p w14:paraId="5DAA3DEC" w14:textId="77777777" w:rsidR="00C17147" w:rsidRDefault="008D0971">
      <w:pPr>
        <w:spacing w:line="360" w:lineRule="auto"/>
        <w:jc w:val="both"/>
        <w:rPr>
          <w:rFonts w:ascii="Arial" w:hAnsi="Arial" w:cs="Arial"/>
          <w:sz w:val="24"/>
          <w:szCs w:val="24"/>
        </w:rPr>
      </w:pPr>
      <w:r>
        <w:rPr>
          <w:rFonts w:ascii="Arial" w:hAnsi="Arial" w:cs="Arial"/>
          <w:sz w:val="24"/>
          <w:szCs w:val="24"/>
        </w:rPr>
        <w:t>En su exposición de motivos, el legislador señaló que el contrato estatal debía responder a los principios de responsabilidad, economía y selección objetiva. El contrato de prestación de servicios, regulado de manera especial en el artículo 32, numeral 3, se concibió como una figura excepcional, destinada a vincular personas naturales o jurídicas para el desarrollo de labores de asesoría, consultoría o apoyo temporal que requiriesen conocimientos especializados.</w:t>
      </w:r>
    </w:p>
    <w:p w14:paraId="67167015" w14:textId="77777777" w:rsidR="00C17147" w:rsidRDefault="008D0971">
      <w:pPr>
        <w:spacing w:line="360" w:lineRule="auto"/>
        <w:jc w:val="both"/>
        <w:rPr>
          <w:rFonts w:ascii="Arial" w:hAnsi="Arial" w:cs="Arial"/>
          <w:sz w:val="24"/>
          <w:szCs w:val="24"/>
        </w:rPr>
      </w:pPr>
      <w:r>
        <w:rPr>
          <w:rFonts w:ascii="Arial" w:hAnsi="Arial" w:cs="Arial"/>
          <w:sz w:val="24"/>
          <w:szCs w:val="24"/>
        </w:rPr>
        <w:t>El espíritu normativo, sin embargo, fue progresivamente reinterpretado. Las entidades estatales, ante la rigidez de los procedimientos de carrera administrativa y la insuficiencia de planta, comenzaron a utilizar esta figura para cubrir funciones permanentes, generando un fenómeno de “laboralización” del contrato civil. Como señala Santofimio Gamboa (2018), el legislador nunca concibió este vínculo como una relación subordinada, sino como una forma autónoma de colaboración entre el Estado y el particular. N</w:t>
      </w:r>
      <w:r>
        <w:rPr>
          <w:rFonts w:ascii="Arial" w:hAnsi="Arial" w:cs="Arial"/>
          <w:sz w:val="24"/>
          <w:szCs w:val="24"/>
        </w:rPr>
        <w:t>o obstante, el uso reiterado y sistemático del contrato como herramienta de vinculación ordinaria desvirtuó su sentido y debilitó su eficacia jurídica.</w:t>
      </w:r>
    </w:p>
    <w:p w14:paraId="62D6BE4D" w14:textId="77777777" w:rsidR="00C17147" w:rsidRDefault="00C17147">
      <w:pPr>
        <w:spacing w:line="360" w:lineRule="auto"/>
        <w:jc w:val="both"/>
        <w:rPr>
          <w:rFonts w:ascii="Arial" w:hAnsi="Arial" w:cs="Arial"/>
          <w:sz w:val="24"/>
          <w:szCs w:val="24"/>
        </w:rPr>
      </w:pPr>
    </w:p>
    <w:p w14:paraId="634F86A8" w14:textId="77777777" w:rsidR="00C17147" w:rsidRDefault="008D0971">
      <w:pPr>
        <w:spacing w:line="360" w:lineRule="auto"/>
        <w:jc w:val="both"/>
        <w:rPr>
          <w:rFonts w:ascii="Arial" w:hAnsi="Arial" w:cs="Arial"/>
          <w:b/>
          <w:bCs/>
          <w:sz w:val="24"/>
          <w:szCs w:val="24"/>
        </w:rPr>
      </w:pPr>
      <w:r>
        <w:rPr>
          <w:rFonts w:ascii="Arial" w:hAnsi="Arial" w:cs="Arial"/>
          <w:b/>
          <w:bCs/>
          <w:sz w:val="24"/>
          <w:szCs w:val="24"/>
        </w:rPr>
        <w:t>La desnaturalización del contrato y su impacto en la eficacia jurídica.</w:t>
      </w:r>
    </w:p>
    <w:p w14:paraId="7CEDD071" w14:textId="77777777" w:rsidR="00C17147" w:rsidRDefault="008D0971">
      <w:pPr>
        <w:spacing w:line="360" w:lineRule="auto"/>
        <w:jc w:val="both"/>
        <w:rPr>
          <w:rFonts w:ascii="Arial" w:hAnsi="Arial" w:cs="Arial"/>
          <w:sz w:val="24"/>
          <w:szCs w:val="24"/>
        </w:rPr>
      </w:pPr>
      <w:r>
        <w:rPr>
          <w:rFonts w:ascii="Arial" w:hAnsi="Arial" w:cs="Arial"/>
          <w:sz w:val="24"/>
          <w:szCs w:val="24"/>
        </w:rPr>
        <w:t xml:space="preserve">El principio de eficacia jurídica implica que la norma no solo produzca efectos formales, sino que su aplicación concreta se corresponda con la finalidad que inspiró su creación. En el caso del contrato de prestación de servicios, la desviación en su </w:t>
      </w:r>
      <w:r>
        <w:rPr>
          <w:rFonts w:ascii="Arial" w:hAnsi="Arial" w:cs="Arial"/>
          <w:sz w:val="24"/>
          <w:szCs w:val="24"/>
        </w:rPr>
        <w:lastRenderedPageBreak/>
        <w:t>uso ha generado una brecha significativa entre la intención del legislador y la realidad administrativa.</w:t>
      </w:r>
    </w:p>
    <w:p w14:paraId="4A627117" w14:textId="77777777" w:rsidR="00C17147" w:rsidRDefault="008D0971">
      <w:pPr>
        <w:spacing w:line="360" w:lineRule="auto"/>
        <w:jc w:val="both"/>
        <w:rPr>
          <w:rFonts w:ascii="Arial" w:hAnsi="Arial" w:cs="Arial"/>
          <w:sz w:val="24"/>
          <w:szCs w:val="24"/>
        </w:rPr>
      </w:pPr>
      <w:r>
        <w:rPr>
          <w:rFonts w:ascii="Arial" w:hAnsi="Arial" w:cs="Arial"/>
          <w:sz w:val="24"/>
          <w:szCs w:val="24"/>
        </w:rPr>
        <w:t>La jurisprudencia del Consejo de Estado ha advertido reiteradamente que este contrato no puede ser utilizado para cubrir funciones permanentes ni para evadir obligaciones laborales (Consejo de Estado, Sección Tercera, 2013). Sin embargo, el fenómeno de la desnaturalización persiste y se ha consolidado como una práctica estructural dentro del aparato estatal.</w:t>
      </w:r>
    </w:p>
    <w:p w14:paraId="3D996AE1" w14:textId="77777777" w:rsidR="00C17147" w:rsidRDefault="008D0971">
      <w:pPr>
        <w:spacing w:line="360" w:lineRule="auto"/>
        <w:jc w:val="both"/>
        <w:rPr>
          <w:rFonts w:ascii="Arial" w:hAnsi="Arial" w:cs="Arial"/>
          <w:sz w:val="24"/>
          <w:szCs w:val="24"/>
        </w:rPr>
      </w:pPr>
      <w:r>
        <w:rPr>
          <w:rFonts w:ascii="Arial" w:hAnsi="Arial" w:cs="Arial"/>
          <w:sz w:val="24"/>
          <w:szCs w:val="24"/>
        </w:rPr>
        <w:t>El resultado es un modelo híbrido en el que la persona contratada realiza funciones equivalentes a las de un servidor público, pero sin estabilidad, seguridad social o derechos laborales. Ello contradice los principios constitucionales de dignidad humana, igualdad y trabajo decente. Como apunta Bernal Pulido (2019), la eficacia de una norma se mide por su capacidad para materializar valores constitucionales; por tanto, cuando su aplicación genera efectos contrarios, la norma pierde legitimidad práctica.</w:t>
      </w:r>
    </w:p>
    <w:p w14:paraId="41A60651" w14:textId="77777777" w:rsidR="00C17147" w:rsidRDefault="008D0971">
      <w:pPr>
        <w:spacing w:line="360" w:lineRule="auto"/>
        <w:jc w:val="both"/>
        <w:rPr>
          <w:rFonts w:ascii="Arial" w:hAnsi="Arial" w:cs="Arial"/>
          <w:sz w:val="24"/>
          <w:szCs w:val="24"/>
        </w:rPr>
      </w:pPr>
      <w:r>
        <w:rPr>
          <w:rFonts w:ascii="Arial" w:hAnsi="Arial" w:cs="Arial"/>
          <w:sz w:val="24"/>
          <w:szCs w:val="24"/>
        </w:rPr>
        <w:t>En este sentido, la eficacia jurídica del contrato de prestación de servicios ha sido erosionada por la práctica administrativa que prioriza la flexibilidad presupuestal sobre la justicia laboral. La consecuencia directa es la consolidación de una relación desigual que vulnera el artículo 53 de la Constitución y los convenios 87, 98 y 111 de la Organización Internacional del Trabajo (OIT, 2017), los cuales garantizan el derecho a un trabajo digno y la protección contra la discriminación en el empleo.</w:t>
      </w:r>
    </w:p>
    <w:p w14:paraId="194D1D55" w14:textId="77777777" w:rsidR="00C17147" w:rsidRDefault="00C17147">
      <w:pPr>
        <w:spacing w:line="360" w:lineRule="auto"/>
        <w:jc w:val="both"/>
        <w:rPr>
          <w:rFonts w:ascii="Arial" w:hAnsi="Arial" w:cs="Arial"/>
          <w:sz w:val="24"/>
          <w:szCs w:val="24"/>
        </w:rPr>
      </w:pPr>
    </w:p>
    <w:p w14:paraId="3E6AF96E" w14:textId="77777777" w:rsidR="00C17147" w:rsidRDefault="008D0971">
      <w:pPr>
        <w:spacing w:line="360" w:lineRule="auto"/>
        <w:jc w:val="both"/>
        <w:rPr>
          <w:rFonts w:ascii="Arial" w:hAnsi="Arial" w:cs="Arial"/>
          <w:b/>
          <w:bCs/>
          <w:sz w:val="24"/>
          <w:szCs w:val="24"/>
        </w:rPr>
      </w:pPr>
      <w:r>
        <w:rPr>
          <w:rFonts w:ascii="Arial" w:hAnsi="Arial" w:cs="Arial"/>
          <w:b/>
          <w:bCs/>
          <w:sz w:val="24"/>
          <w:szCs w:val="24"/>
        </w:rPr>
        <w:t>Tensiones entre el principio de transparencia y la práctica contractual.</w:t>
      </w:r>
    </w:p>
    <w:p w14:paraId="28EFC99A" w14:textId="77777777" w:rsidR="00C17147" w:rsidRDefault="008D0971">
      <w:pPr>
        <w:spacing w:line="360" w:lineRule="auto"/>
        <w:jc w:val="both"/>
        <w:rPr>
          <w:rFonts w:ascii="Arial" w:hAnsi="Arial" w:cs="Arial"/>
          <w:sz w:val="24"/>
          <w:szCs w:val="24"/>
        </w:rPr>
      </w:pPr>
      <w:r>
        <w:rPr>
          <w:rFonts w:ascii="Arial" w:hAnsi="Arial" w:cs="Arial"/>
          <w:sz w:val="24"/>
          <w:szCs w:val="24"/>
        </w:rPr>
        <w:t>Uno de los pilares de la Ley 80 de 1993 es el principio de transparencia, que busca garantizar la publicidad, objetividad y selección imparcial en la contratación pública. No obstante, la proliferación de contratos por prestación de servicios ha generado zonas grises en materia de control, acceso a la información y trazabilidad presupuestal.</w:t>
      </w:r>
    </w:p>
    <w:p w14:paraId="1215EE38" w14:textId="77777777" w:rsidR="00C17147" w:rsidRDefault="008D0971">
      <w:pPr>
        <w:spacing w:line="360" w:lineRule="auto"/>
        <w:jc w:val="both"/>
        <w:rPr>
          <w:rFonts w:ascii="Arial" w:hAnsi="Arial" w:cs="Arial"/>
          <w:sz w:val="24"/>
          <w:szCs w:val="24"/>
        </w:rPr>
      </w:pPr>
      <w:r>
        <w:rPr>
          <w:rFonts w:ascii="Arial" w:hAnsi="Arial" w:cs="Arial"/>
          <w:sz w:val="24"/>
          <w:szCs w:val="24"/>
        </w:rPr>
        <w:t xml:space="preserve">La Corte Constitucional ha señalado que la transparencia no puede entenderse como un simple procedimiento formal, sino como una garantía sustancial de </w:t>
      </w:r>
      <w:r>
        <w:rPr>
          <w:rFonts w:ascii="Arial" w:hAnsi="Arial" w:cs="Arial"/>
          <w:sz w:val="24"/>
          <w:szCs w:val="24"/>
        </w:rPr>
        <w:lastRenderedPageBreak/>
        <w:t>rendición de cuentas y confianza ciudadana. En ese sentido, cuando la figura contractual se emplea para fines distintos a los previstos, se vulnera no solo la moralidad administrativa, sino también el derecho colectivo a la transparencia.</w:t>
      </w:r>
    </w:p>
    <w:p w14:paraId="6E608294" w14:textId="77777777" w:rsidR="00C17147" w:rsidRDefault="008D0971">
      <w:pPr>
        <w:spacing w:line="360" w:lineRule="auto"/>
        <w:jc w:val="both"/>
        <w:rPr>
          <w:rFonts w:ascii="Arial" w:hAnsi="Arial" w:cs="Arial"/>
          <w:sz w:val="24"/>
          <w:szCs w:val="24"/>
        </w:rPr>
      </w:pPr>
      <w:r>
        <w:rPr>
          <w:rFonts w:ascii="Arial" w:hAnsi="Arial" w:cs="Arial"/>
          <w:sz w:val="24"/>
          <w:szCs w:val="24"/>
        </w:rPr>
        <w:t>De acuerdo con el Departamento Administrativo de la Función Pública (DAFP, 2022), la mayoría de los contratos por prestación de servicios se celebran de manera directa, con baja competencia y escaso control social. Esta opacidad administrativa ha permitido prácticas clientelistas y la creación de estructuras paralelas de empleo público, lo que atenta contra los principios de igualdad y mérito que orientan el acceso al servicio estatal.</w:t>
      </w:r>
    </w:p>
    <w:p w14:paraId="077E565D" w14:textId="77777777" w:rsidR="00C17147" w:rsidRDefault="008D0971">
      <w:pPr>
        <w:spacing w:line="360" w:lineRule="auto"/>
        <w:jc w:val="both"/>
        <w:rPr>
          <w:rFonts w:ascii="Arial" w:hAnsi="Arial" w:cs="Arial"/>
          <w:sz w:val="24"/>
          <w:szCs w:val="24"/>
        </w:rPr>
      </w:pPr>
      <w:r>
        <w:rPr>
          <w:rFonts w:ascii="Arial" w:hAnsi="Arial" w:cs="Arial"/>
          <w:sz w:val="24"/>
          <w:szCs w:val="24"/>
        </w:rPr>
        <w:t>En este contexto, la transparencia no se mide únicamente por la publicidad de los actos, sino por la coherencia ética del sistema contractual. Cassagne (2017) advierte que el principio de transparencia, más allá de ser un postulado formal, constituye una herramienta de legitimación del Estado y de control ciudadano sobre el poder público. Cuando se utiliza el contrato estatal para evadir obligaciones o favorecer intereses particulares, el sistema pierde su valor democrático y su eficacia institucional.</w:t>
      </w:r>
    </w:p>
    <w:p w14:paraId="14C3E529" w14:textId="77777777" w:rsidR="00C17147" w:rsidRDefault="00C17147">
      <w:pPr>
        <w:spacing w:line="360" w:lineRule="auto"/>
        <w:jc w:val="both"/>
        <w:rPr>
          <w:rFonts w:ascii="Arial" w:hAnsi="Arial" w:cs="Arial"/>
          <w:sz w:val="24"/>
          <w:szCs w:val="24"/>
        </w:rPr>
      </w:pPr>
    </w:p>
    <w:p w14:paraId="3A3B124A" w14:textId="77777777" w:rsidR="00C17147" w:rsidRDefault="008D0971">
      <w:pPr>
        <w:spacing w:line="360" w:lineRule="auto"/>
        <w:jc w:val="both"/>
        <w:rPr>
          <w:rFonts w:ascii="Arial" w:hAnsi="Arial" w:cs="Arial"/>
          <w:b/>
          <w:bCs/>
          <w:sz w:val="24"/>
          <w:szCs w:val="24"/>
        </w:rPr>
      </w:pPr>
      <w:r>
        <w:rPr>
          <w:rFonts w:ascii="Arial" w:hAnsi="Arial" w:cs="Arial"/>
          <w:b/>
          <w:bCs/>
          <w:sz w:val="24"/>
          <w:szCs w:val="24"/>
        </w:rPr>
        <w:t>El impacto del contrato de prestación de servicios en el ODS 8: trabajo decente y crecimiento económico.</w:t>
      </w:r>
    </w:p>
    <w:p w14:paraId="073963CC" w14:textId="77777777" w:rsidR="00C17147" w:rsidRDefault="008D0971">
      <w:pPr>
        <w:spacing w:line="360" w:lineRule="auto"/>
        <w:jc w:val="both"/>
        <w:rPr>
          <w:rFonts w:ascii="Arial" w:hAnsi="Arial" w:cs="Arial"/>
          <w:sz w:val="24"/>
          <w:szCs w:val="24"/>
        </w:rPr>
      </w:pPr>
      <w:r>
        <w:rPr>
          <w:rFonts w:ascii="Arial" w:hAnsi="Arial" w:cs="Arial"/>
          <w:sz w:val="24"/>
          <w:szCs w:val="24"/>
        </w:rPr>
        <w:t>La Agenda 2030 para el Desarrollo Sostenible, adoptada por la Organización de las Naciones Unidas (2015), establece como Objetivo 8 la promoción de un trabajo decente y el crecimiento económico sostenido e inclusivo. Este objetivo implica no solo la generación de empleo, sino también la garantía de condiciones dignas, seguridad social y estabilidad para los trabajadores.</w:t>
      </w:r>
    </w:p>
    <w:p w14:paraId="3FB64474" w14:textId="77777777" w:rsidR="00C17147" w:rsidRDefault="008D0971">
      <w:pPr>
        <w:spacing w:line="360" w:lineRule="auto"/>
        <w:jc w:val="both"/>
        <w:rPr>
          <w:rFonts w:ascii="Arial" w:hAnsi="Arial" w:cs="Arial"/>
          <w:sz w:val="24"/>
          <w:szCs w:val="24"/>
        </w:rPr>
      </w:pPr>
      <w:r>
        <w:rPr>
          <w:rFonts w:ascii="Arial" w:hAnsi="Arial" w:cs="Arial"/>
          <w:sz w:val="24"/>
          <w:szCs w:val="24"/>
        </w:rPr>
        <w:t>En Colombia, la expansión del contrato de prestación de servicios en el sector público ha tenido un impacto negativo en la consecución de este objetivo. Según el DANE (2023), más del 45 % de los trabajadores vinculados mediante esta modalidad carecen de afiliación integral al sistema de seguridad social, lo que refleja un déficit estructural de protección.</w:t>
      </w:r>
    </w:p>
    <w:p w14:paraId="4E6CEA96" w14:textId="77777777" w:rsidR="00C17147" w:rsidRDefault="008D0971">
      <w:pPr>
        <w:spacing w:line="360" w:lineRule="auto"/>
        <w:jc w:val="both"/>
        <w:rPr>
          <w:rFonts w:ascii="Arial" w:hAnsi="Arial" w:cs="Arial"/>
          <w:sz w:val="24"/>
          <w:szCs w:val="24"/>
        </w:rPr>
      </w:pPr>
      <w:r>
        <w:rPr>
          <w:rFonts w:ascii="Arial" w:hAnsi="Arial" w:cs="Arial"/>
          <w:sz w:val="24"/>
          <w:szCs w:val="24"/>
        </w:rPr>
        <w:lastRenderedPageBreak/>
        <w:t>La contradicción es evidente: mientras el Estado colombiano se compromete internacionalmente a promover el trabajo decente, su propio modelo de contratación reproduce formas precarias de empleo. Este fenómeno socava la coherencia de las políticas públicas y afecta el cumplimiento de los compromisos asumidos ante la comunidad internacional.</w:t>
      </w:r>
    </w:p>
    <w:p w14:paraId="43704B2B" w14:textId="77777777" w:rsidR="00C17147" w:rsidRDefault="008D0971">
      <w:pPr>
        <w:spacing w:line="360" w:lineRule="auto"/>
        <w:jc w:val="both"/>
        <w:rPr>
          <w:rFonts w:ascii="Arial" w:hAnsi="Arial" w:cs="Arial"/>
          <w:sz w:val="24"/>
          <w:szCs w:val="24"/>
        </w:rPr>
      </w:pPr>
      <w:r>
        <w:rPr>
          <w:rFonts w:ascii="Arial" w:hAnsi="Arial" w:cs="Arial"/>
          <w:sz w:val="24"/>
          <w:szCs w:val="24"/>
        </w:rPr>
        <w:t>Como señala Amartya Sen (2000), el desarrollo no puede medirse únicamente en términos económicos, sino en función de las libertades reales de las personas para vivir con dignidad. Bajo esta premisa, la figura contractual estatal debería ser revisada a la luz de los principios de equidad, justicia social y sostenibilidad, de modo que el Estado no se convierta en un agente reproductor de las desigualdades laborales que pretende combatir.</w:t>
      </w:r>
    </w:p>
    <w:p w14:paraId="46007FD2" w14:textId="77777777" w:rsidR="00C17147" w:rsidRDefault="008D0971">
      <w:pPr>
        <w:spacing w:line="360" w:lineRule="auto"/>
        <w:jc w:val="both"/>
        <w:rPr>
          <w:rFonts w:ascii="Arial" w:hAnsi="Arial" w:cs="Arial"/>
          <w:b/>
          <w:bCs/>
          <w:sz w:val="24"/>
          <w:szCs w:val="24"/>
        </w:rPr>
      </w:pPr>
      <w:r>
        <w:rPr>
          <w:rFonts w:ascii="Arial" w:hAnsi="Arial" w:cs="Arial"/>
          <w:b/>
          <w:bCs/>
          <w:sz w:val="24"/>
          <w:szCs w:val="24"/>
        </w:rPr>
        <w:t>Hacia una reinterpretación integradora: Derecho Administrativo, laboral y desarrollo sostenible.</w:t>
      </w:r>
    </w:p>
    <w:p w14:paraId="1C3474E8" w14:textId="77777777" w:rsidR="00C17147" w:rsidRDefault="008D0971">
      <w:pPr>
        <w:spacing w:line="360" w:lineRule="auto"/>
        <w:jc w:val="both"/>
        <w:rPr>
          <w:rFonts w:ascii="Arial" w:hAnsi="Arial" w:cs="Arial"/>
          <w:sz w:val="24"/>
          <w:szCs w:val="24"/>
        </w:rPr>
      </w:pPr>
      <w:r>
        <w:rPr>
          <w:rFonts w:ascii="Arial" w:hAnsi="Arial" w:cs="Arial"/>
          <w:sz w:val="24"/>
          <w:szCs w:val="24"/>
        </w:rPr>
        <w:t>El reto contemporáneo consiste en construir una lectura integradora que supere la dicotomía entre Derecho Administrativo y Derecho Laboral. Ambos comparten una finalidad común: garantizar el equilibrio entre la eficiencia institucional y la protección del ser humano como eje de la función pública.</w:t>
      </w:r>
    </w:p>
    <w:p w14:paraId="2375A50D" w14:textId="77777777" w:rsidR="00C17147" w:rsidRDefault="008D0971">
      <w:pPr>
        <w:spacing w:line="360" w:lineRule="auto"/>
        <w:jc w:val="both"/>
        <w:rPr>
          <w:rFonts w:ascii="Arial" w:hAnsi="Arial" w:cs="Arial"/>
          <w:sz w:val="24"/>
          <w:szCs w:val="24"/>
        </w:rPr>
      </w:pPr>
      <w:r>
        <w:rPr>
          <w:rFonts w:ascii="Arial" w:hAnsi="Arial" w:cs="Arial"/>
          <w:sz w:val="24"/>
          <w:szCs w:val="24"/>
        </w:rPr>
        <w:t>García de Enterría (2016) advertía que el Derecho Administrativo no puede entenderse como un instrumento de poder, sino como un sistema de garantías frente al poder. En ese sentido, el contrato estatal no puede seguir siendo un medio para eludir los derechos laborales bajo la apariencia de legalidad.</w:t>
      </w:r>
    </w:p>
    <w:p w14:paraId="7349A31C" w14:textId="77777777" w:rsidR="00C17147" w:rsidRDefault="008D0971">
      <w:pPr>
        <w:spacing w:line="360" w:lineRule="auto"/>
        <w:jc w:val="both"/>
        <w:rPr>
          <w:rFonts w:ascii="Arial" w:hAnsi="Arial" w:cs="Arial"/>
          <w:sz w:val="24"/>
          <w:szCs w:val="24"/>
        </w:rPr>
      </w:pPr>
      <w:r>
        <w:rPr>
          <w:rFonts w:ascii="Arial" w:hAnsi="Arial" w:cs="Arial"/>
          <w:sz w:val="24"/>
          <w:szCs w:val="24"/>
        </w:rPr>
        <w:t>Una reinterpretación integradora exige reformular el uso del contrato de prestación de servicios, establecer límites claros a su temporalidad, fortalecer los mecanismos de control y, sobre todo, promover una cultura de responsabilidad social en el sector público. Este enfoque no solo responde a la necesidad de coherencia jurídica, sino que también contribuye al cumplimiento del ODS 8 y a la consolidación de un Estado más ético y transparente.</w:t>
      </w:r>
    </w:p>
    <w:p w14:paraId="6B035CA2" w14:textId="77777777" w:rsidR="00C17147" w:rsidRDefault="008D0971">
      <w:pPr>
        <w:spacing w:line="360" w:lineRule="auto"/>
        <w:jc w:val="both"/>
        <w:rPr>
          <w:rFonts w:ascii="Arial" w:hAnsi="Arial" w:cs="Arial"/>
          <w:sz w:val="24"/>
          <w:szCs w:val="24"/>
        </w:rPr>
      </w:pPr>
      <w:r>
        <w:rPr>
          <w:rFonts w:ascii="Arial" w:hAnsi="Arial" w:cs="Arial"/>
          <w:sz w:val="24"/>
          <w:szCs w:val="24"/>
        </w:rPr>
        <w:t xml:space="preserve">Como señala Rivero Ortega (2019), el futuro del Derecho Administrativo está en su capacidad de dialogar con otras ramas del conocimiento y con los nuevos </w:t>
      </w:r>
      <w:r>
        <w:rPr>
          <w:rFonts w:ascii="Arial" w:hAnsi="Arial" w:cs="Arial"/>
          <w:sz w:val="24"/>
          <w:szCs w:val="24"/>
        </w:rPr>
        <w:lastRenderedPageBreak/>
        <w:t>paradigmas de desarrollo sostenible. El desafío para Colombia es, entonces, reconciliar la eficacia jurídica con la justicia social, de manera que la contratación estatal vuelva a ser un instrumento legítimo de servicio público y no un mecanismo de exclusión laboral.</w:t>
      </w:r>
    </w:p>
    <w:p w14:paraId="7B05AF9B" w14:textId="77777777" w:rsidR="00C17147" w:rsidRDefault="00C17147">
      <w:pPr>
        <w:spacing w:line="360" w:lineRule="auto"/>
        <w:jc w:val="both"/>
        <w:rPr>
          <w:rFonts w:ascii="Arial" w:hAnsi="Arial" w:cs="Arial"/>
          <w:sz w:val="24"/>
          <w:szCs w:val="24"/>
        </w:rPr>
      </w:pPr>
    </w:p>
    <w:p w14:paraId="242EB7C9" w14:textId="77777777" w:rsidR="00C17147" w:rsidRDefault="00C17147">
      <w:pPr>
        <w:spacing w:line="360" w:lineRule="auto"/>
        <w:jc w:val="both"/>
        <w:rPr>
          <w:rFonts w:ascii="Arial" w:hAnsi="Arial" w:cs="Arial"/>
          <w:sz w:val="24"/>
          <w:szCs w:val="24"/>
        </w:rPr>
      </w:pPr>
    </w:p>
    <w:p w14:paraId="2F4D51D8" w14:textId="77777777" w:rsidR="00C17147" w:rsidRDefault="00C17147">
      <w:pPr>
        <w:spacing w:line="360" w:lineRule="auto"/>
        <w:jc w:val="both"/>
        <w:rPr>
          <w:rFonts w:ascii="Arial" w:hAnsi="Arial" w:cs="Arial"/>
          <w:sz w:val="24"/>
          <w:szCs w:val="24"/>
        </w:rPr>
      </w:pPr>
    </w:p>
    <w:p w14:paraId="44498B4F" w14:textId="77777777" w:rsidR="00C17147" w:rsidRDefault="00C17147">
      <w:pPr>
        <w:spacing w:line="360" w:lineRule="auto"/>
        <w:jc w:val="both"/>
        <w:rPr>
          <w:rFonts w:ascii="Arial" w:hAnsi="Arial" w:cs="Arial"/>
          <w:sz w:val="24"/>
          <w:szCs w:val="24"/>
        </w:rPr>
      </w:pPr>
    </w:p>
    <w:p w14:paraId="5472263F" w14:textId="77777777" w:rsidR="00C17147" w:rsidRDefault="00C17147">
      <w:pPr>
        <w:spacing w:line="360" w:lineRule="auto"/>
        <w:jc w:val="both"/>
        <w:rPr>
          <w:rFonts w:ascii="Arial" w:hAnsi="Arial" w:cs="Arial"/>
          <w:sz w:val="24"/>
          <w:szCs w:val="24"/>
        </w:rPr>
      </w:pPr>
    </w:p>
    <w:p w14:paraId="3A3222D7" w14:textId="77777777" w:rsidR="00C17147" w:rsidRDefault="008D0971">
      <w:pPr>
        <w:spacing w:line="360" w:lineRule="auto"/>
        <w:jc w:val="both"/>
        <w:rPr>
          <w:rFonts w:ascii="Arial" w:hAnsi="Arial" w:cs="Arial"/>
          <w:b/>
          <w:bCs/>
          <w:sz w:val="24"/>
          <w:szCs w:val="24"/>
        </w:rPr>
      </w:pPr>
      <w:r>
        <w:rPr>
          <w:rFonts w:ascii="Arial" w:hAnsi="Arial" w:cs="Arial"/>
          <w:b/>
          <w:bCs/>
          <w:sz w:val="24"/>
          <w:szCs w:val="24"/>
        </w:rPr>
        <w:t>La precarización laboral como consecuencia del uso inadecuado del contrato de prestación de servicios.</w:t>
      </w:r>
    </w:p>
    <w:p w14:paraId="306F77C9" w14:textId="77777777" w:rsidR="00C17147" w:rsidRDefault="008D0971">
      <w:pPr>
        <w:spacing w:line="360" w:lineRule="auto"/>
        <w:jc w:val="both"/>
        <w:rPr>
          <w:rFonts w:ascii="Arial" w:hAnsi="Arial" w:cs="Arial"/>
          <w:sz w:val="24"/>
          <w:szCs w:val="24"/>
        </w:rPr>
      </w:pPr>
      <w:r>
        <w:rPr>
          <w:rFonts w:ascii="Arial" w:hAnsi="Arial" w:cs="Arial"/>
          <w:sz w:val="24"/>
          <w:szCs w:val="24"/>
        </w:rPr>
        <w:t>El uso extendido del contrato de prestación de servicios en la administración pública colombiana ha derivado en un fenómeno estructural de precarización laboral, caracterizado por la inestabilidad, la ausencia de seguridad social plena y la desprotección frente a riesgos laborales. Aunque esta figura jurídica nació con una finalidad técnica y temporal, hoy constituye, en muchos entes territoriales, la principal forma de vinculación con el Estado.</w:t>
      </w:r>
    </w:p>
    <w:p w14:paraId="3F532027" w14:textId="77777777" w:rsidR="00C17147" w:rsidRDefault="008D0971">
      <w:pPr>
        <w:spacing w:line="360" w:lineRule="auto"/>
        <w:jc w:val="both"/>
        <w:rPr>
          <w:rFonts w:ascii="Arial" w:hAnsi="Arial" w:cs="Arial"/>
          <w:sz w:val="24"/>
          <w:szCs w:val="24"/>
        </w:rPr>
      </w:pPr>
      <w:r>
        <w:rPr>
          <w:rFonts w:ascii="Arial" w:hAnsi="Arial" w:cs="Arial"/>
          <w:sz w:val="24"/>
          <w:szCs w:val="24"/>
        </w:rPr>
        <w:t>El DANE (2023) reportó que más de 600.000 personas prestan servicios al Estado sin relación laboral directa, muchas de ellas con contratos sucesivos que pueden extenderse durante años. Este uso reiterado contradice el principio de estabilidad mínima del trabajador y la prohibición de simulación laboral consagrada en el artículo 23 del Código Sustantivo del Trabajo.</w:t>
      </w:r>
    </w:p>
    <w:p w14:paraId="7305529B" w14:textId="77777777" w:rsidR="00C17147" w:rsidRDefault="008D0971">
      <w:pPr>
        <w:spacing w:line="360" w:lineRule="auto"/>
        <w:jc w:val="both"/>
        <w:rPr>
          <w:rFonts w:ascii="Arial" w:hAnsi="Arial" w:cs="Arial"/>
          <w:sz w:val="24"/>
          <w:szCs w:val="24"/>
        </w:rPr>
      </w:pPr>
      <w:r>
        <w:rPr>
          <w:rFonts w:ascii="Arial" w:hAnsi="Arial" w:cs="Arial"/>
          <w:sz w:val="24"/>
          <w:szCs w:val="24"/>
        </w:rPr>
        <w:t>Desde una perspectiva social, este fenómeno genera una doble paradoja. Por un lado, el Estado llamado a garantizar derechos se convierte en un empleador informal; por otro, debilita los mecanismos de inclusión laboral formal que promueve en su política pública. Para Pizarro León-Gómez (2020), la administración pública debe ser ejemplo de trabajo digno, y no un espacio donde la temporalidad sea excusa para la precariedad.</w:t>
      </w:r>
    </w:p>
    <w:p w14:paraId="2E3EE75D" w14:textId="77777777" w:rsidR="00C17147" w:rsidRDefault="008D0971">
      <w:pPr>
        <w:spacing w:line="360" w:lineRule="auto"/>
        <w:jc w:val="both"/>
        <w:rPr>
          <w:rFonts w:ascii="Arial" w:hAnsi="Arial" w:cs="Arial"/>
          <w:sz w:val="24"/>
          <w:szCs w:val="24"/>
        </w:rPr>
      </w:pPr>
      <w:r>
        <w:rPr>
          <w:rFonts w:ascii="Arial" w:hAnsi="Arial" w:cs="Arial"/>
          <w:sz w:val="24"/>
          <w:szCs w:val="24"/>
        </w:rPr>
        <w:lastRenderedPageBreak/>
        <w:t>El contrato de prestación de servicios, utilizado como fórmula presupuestal, termina siendo un instrumento de exclusión. De hecho, los contratistas carecen de estabilidad, vacaciones, primas, cesantías y afiliación permanente al sistema de riesgos laborales. Esta precariedad tiene consecuencias directas sobre el bienestar individual y colectivo, al tiempo que erosiona la confianza ciudadana en las instituciones.</w:t>
      </w:r>
    </w:p>
    <w:p w14:paraId="3E3EB9B8" w14:textId="77777777" w:rsidR="00C17147" w:rsidRDefault="008D0971">
      <w:pPr>
        <w:spacing w:line="360" w:lineRule="auto"/>
        <w:jc w:val="both"/>
        <w:rPr>
          <w:rFonts w:ascii="Arial" w:hAnsi="Arial" w:cs="Arial"/>
          <w:sz w:val="24"/>
          <w:szCs w:val="24"/>
        </w:rPr>
      </w:pPr>
      <w:r>
        <w:rPr>
          <w:rFonts w:ascii="Arial" w:hAnsi="Arial" w:cs="Arial"/>
          <w:sz w:val="24"/>
          <w:szCs w:val="24"/>
        </w:rPr>
        <w:t>En palabras de Espinosa (2021), el uso desnaturalizado de esta figura constituye “una forma moderna de invisibilizar la relación laboral bajo la apariencia de autonomía contractual”. En suma, la precarización derivada de este modelo no solo vulnera el principio de igualdad material, sino que atenta contra la ética pública y el propósito social del Estado.</w:t>
      </w:r>
    </w:p>
    <w:p w14:paraId="0767A702" w14:textId="77777777" w:rsidR="00C17147" w:rsidRDefault="00C17147">
      <w:pPr>
        <w:spacing w:line="360" w:lineRule="auto"/>
        <w:jc w:val="both"/>
        <w:rPr>
          <w:rFonts w:ascii="Arial" w:hAnsi="Arial" w:cs="Arial"/>
          <w:sz w:val="24"/>
          <w:szCs w:val="24"/>
        </w:rPr>
      </w:pPr>
    </w:p>
    <w:p w14:paraId="2E7E9F11" w14:textId="77777777" w:rsidR="00C17147" w:rsidRDefault="008D0971">
      <w:pPr>
        <w:spacing w:line="360" w:lineRule="auto"/>
        <w:jc w:val="both"/>
        <w:rPr>
          <w:rFonts w:ascii="Arial" w:hAnsi="Arial" w:cs="Arial"/>
          <w:b/>
          <w:bCs/>
          <w:sz w:val="24"/>
          <w:szCs w:val="24"/>
        </w:rPr>
      </w:pPr>
      <w:r>
        <w:rPr>
          <w:rFonts w:ascii="Arial" w:hAnsi="Arial" w:cs="Arial"/>
          <w:b/>
          <w:bCs/>
          <w:sz w:val="24"/>
          <w:szCs w:val="24"/>
        </w:rPr>
        <w:t>El desafío ético y político de la contratación estatal</w:t>
      </w:r>
    </w:p>
    <w:p w14:paraId="4AA91083" w14:textId="77777777" w:rsidR="00C17147" w:rsidRDefault="008D0971">
      <w:pPr>
        <w:spacing w:line="360" w:lineRule="auto"/>
        <w:jc w:val="both"/>
        <w:rPr>
          <w:rFonts w:ascii="Arial" w:hAnsi="Arial" w:cs="Arial"/>
          <w:sz w:val="24"/>
          <w:szCs w:val="24"/>
        </w:rPr>
      </w:pPr>
      <w:r>
        <w:rPr>
          <w:rFonts w:ascii="Arial" w:hAnsi="Arial" w:cs="Arial"/>
          <w:sz w:val="24"/>
          <w:szCs w:val="24"/>
        </w:rPr>
        <w:t>Más allá de su dimensión legal, el contrato de prestación de servicios encierra una cuestión ética: ¿puede el Estado sostener su funcionamiento mediante vínculos laborales precarios, cuando su deber constitucional es garantizar condiciones dignas de trabajo?</w:t>
      </w:r>
    </w:p>
    <w:p w14:paraId="52EB5A6A" w14:textId="77777777" w:rsidR="00C17147" w:rsidRDefault="008D0971">
      <w:pPr>
        <w:spacing w:line="360" w:lineRule="auto"/>
        <w:jc w:val="both"/>
        <w:rPr>
          <w:rFonts w:ascii="Arial" w:hAnsi="Arial" w:cs="Arial"/>
          <w:sz w:val="24"/>
          <w:szCs w:val="24"/>
        </w:rPr>
      </w:pPr>
      <w:r>
        <w:rPr>
          <w:rFonts w:ascii="Arial" w:hAnsi="Arial" w:cs="Arial"/>
          <w:sz w:val="24"/>
          <w:szCs w:val="24"/>
        </w:rPr>
        <w:t>El artículo 2 de la Constitución Política de 1991 establece que las autoridades están al servicio de la comunidad y deben promover la prosperidad general. En ese sentido, la legitimidad del Estado no solo se mide por su capacidad de contratar con transparencia, sino también por su coherencia moral al respetar los derechos de quienes le sirven.</w:t>
      </w:r>
    </w:p>
    <w:p w14:paraId="29F872C5" w14:textId="77777777" w:rsidR="00C17147" w:rsidRDefault="008D0971">
      <w:pPr>
        <w:spacing w:line="360" w:lineRule="auto"/>
        <w:jc w:val="both"/>
        <w:rPr>
          <w:rFonts w:ascii="Arial" w:hAnsi="Arial" w:cs="Arial"/>
          <w:sz w:val="24"/>
          <w:szCs w:val="24"/>
        </w:rPr>
      </w:pPr>
      <w:r>
        <w:rPr>
          <w:rFonts w:ascii="Arial" w:hAnsi="Arial" w:cs="Arial"/>
          <w:sz w:val="24"/>
          <w:szCs w:val="24"/>
        </w:rPr>
        <w:t>Desde la ética pública, el principio de coherencia institucional resulta esencial: el Estado no puede exigir legalidad y dignidad si su propio modelo de contratación se funda en la vulnerabilidad del contratista. Según Rawls (2006), la justicia no consiste solo en el cumplimiento de las normas, sino en la equidad de las instituciones que las aplican.</w:t>
      </w:r>
    </w:p>
    <w:p w14:paraId="3B57B660" w14:textId="77777777" w:rsidR="00C17147" w:rsidRDefault="008D0971">
      <w:pPr>
        <w:spacing w:line="360" w:lineRule="auto"/>
        <w:jc w:val="both"/>
        <w:rPr>
          <w:rFonts w:ascii="Arial" w:hAnsi="Arial" w:cs="Arial"/>
          <w:sz w:val="24"/>
          <w:szCs w:val="24"/>
        </w:rPr>
      </w:pPr>
      <w:r>
        <w:rPr>
          <w:rFonts w:ascii="Arial" w:hAnsi="Arial" w:cs="Arial"/>
          <w:sz w:val="24"/>
          <w:szCs w:val="24"/>
        </w:rPr>
        <w:t xml:space="preserve">En la práctica, muchos contratistas de prestación de servicios laboran bajo condiciones de subordinación implícita, con horarios, tareas permanentes y </w:t>
      </w:r>
      <w:r>
        <w:rPr>
          <w:rFonts w:ascii="Arial" w:hAnsi="Arial" w:cs="Arial"/>
          <w:sz w:val="24"/>
          <w:szCs w:val="24"/>
        </w:rPr>
        <w:lastRenderedPageBreak/>
        <w:t>supervisión directa. Sin embargo, carecen de protección jurídica frente a la terminación unilateral del contrato o el retraso en los pagos. Esta situación genera un desequilibrio estructural entre el Estado empleador y el individuo contratista, que vulnera la dignidad humana y socava el principio del trabajo como fundamento del orden social (Corte Constitucional, Sentencia T-476 de 2021).</w:t>
      </w:r>
    </w:p>
    <w:p w14:paraId="2EFC4D4E" w14:textId="77777777" w:rsidR="00C17147" w:rsidRDefault="008D0971">
      <w:pPr>
        <w:spacing w:line="360" w:lineRule="auto"/>
        <w:jc w:val="both"/>
        <w:rPr>
          <w:rFonts w:ascii="Arial" w:hAnsi="Arial" w:cs="Arial"/>
          <w:sz w:val="24"/>
          <w:szCs w:val="24"/>
        </w:rPr>
      </w:pPr>
      <w:r>
        <w:rPr>
          <w:rFonts w:ascii="Arial" w:hAnsi="Arial" w:cs="Arial"/>
          <w:sz w:val="24"/>
          <w:szCs w:val="24"/>
        </w:rPr>
        <w:t>Por ello, la ética de la contratación pública no puede reducirse al cumplimiento formal de los procedimientos. Requiere un compromiso sustantivo con los valores de equidad, transparencia y responsabilidad social. Si la contratación estatal se concibe solo como un mecanismo administrativo y no como un medio para fortalecer el bien común, pierde su legitimidad política y moral.</w:t>
      </w:r>
    </w:p>
    <w:p w14:paraId="202E674E" w14:textId="77777777" w:rsidR="00C17147" w:rsidRDefault="00C17147">
      <w:pPr>
        <w:spacing w:line="360" w:lineRule="auto"/>
        <w:jc w:val="both"/>
        <w:rPr>
          <w:rFonts w:ascii="Arial" w:hAnsi="Arial" w:cs="Arial"/>
          <w:sz w:val="24"/>
          <w:szCs w:val="24"/>
        </w:rPr>
      </w:pPr>
    </w:p>
    <w:p w14:paraId="2F3DD721" w14:textId="77777777" w:rsidR="00C17147" w:rsidRDefault="008D0971">
      <w:pPr>
        <w:spacing w:line="360" w:lineRule="auto"/>
        <w:jc w:val="both"/>
        <w:rPr>
          <w:rFonts w:ascii="Arial" w:hAnsi="Arial" w:cs="Arial"/>
          <w:b/>
          <w:bCs/>
          <w:sz w:val="24"/>
          <w:szCs w:val="24"/>
        </w:rPr>
      </w:pPr>
      <w:r>
        <w:rPr>
          <w:rFonts w:ascii="Arial" w:hAnsi="Arial" w:cs="Arial"/>
          <w:b/>
          <w:bCs/>
          <w:sz w:val="24"/>
          <w:szCs w:val="24"/>
        </w:rPr>
        <w:t>Propuesta de relectura normativa y de política pública.</w:t>
      </w:r>
    </w:p>
    <w:p w14:paraId="7272E4E0" w14:textId="77777777" w:rsidR="00C17147" w:rsidRDefault="008D0971">
      <w:pPr>
        <w:spacing w:line="360" w:lineRule="auto"/>
        <w:jc w:val="both"/>
        <w:rPr>
          <w:rFonts w:ascii="Arial" w:hAnsi="Arial" w:cs="Arial"/>
          <w:sz w:val="24"/>
          <w:szCs w:val="24"/>
        </w:rPr>
      </w:pPr>
      <w:r>
        <w:rPr>
          <w:rFonts w:ascii="Arial" w:hAnsi="Arial" w:cs="Arial"/>
          <w:sz w:val="24"/>
          <w:szCs w:val="24"/>
        </w:rPr>
        <w:t>Frente a los vacíos normativos y las prácticas desnaturalizadas, resulta necesario replantear el modelo de contratación estatal bajo criterios de equidad, sostenibilidad y coherencia institucional. La propuesta no pasa únicamente por reformar la Ley 80 de 1993, sino por redefinir los principios que orientan la vinculación entre el Estado y las personas.</w:t>
      </w:r>
    </w:p>
    <w:p w14:paraId="3CC3680D" w14:textId="77777777" w:rsidR="00C17147" w:rsidRDefault="008D0971">
      <w:pPr>
        <w:spacing w:line="360" w:lineRule="auto"/>
        <w:jc w:val="both"/>
        <w:rPr>
          <w:rFonts w:ascii="Arial" w:hAnsi="Arial" w:cs="Arial"/>
          <w:sz w:val="24"/>
          <w:szCs w:val="24"/>
        </w:rPr>
      </w:pPr>
      <w:r>
        <w:rPr>
          <w:rFonts w:ascii="Arial" w:hAnsi="Arial" w:cs="Arial"/>
          <w:sz w:val="24"/>
          <w:szCs w:val="24"/>
        </w:rPr>
        <w:t>En primer lugar, se propone incorporar en la normativa un principio de dignidad contractual, que obligue a las entidades públicas a justificar la temporalidad y especificidad de cada contrato de prestación de servicios. Esto implicaría un control previo de legalidad material, no solo formal, por parte de los órganos de control interno.</w:t>
      </w:r>
    </w:p>
    <w:p w14:paraId="2F7B8C2C" w14:textId="77777777" w:rsidR="00C17147" w:rsidRDefault="008D0971">
      <w:pPr>
        <w:spacing w:line="360" w:lineRule="auto"/>
        <w:jc w:val="both"/>
        <w:rPr>
          <w:rFonts w:ascii="Arial" w:hAnsi="Arial" w:cs="Arial"/>
          <w:sz w:val="24"/>
          <w:szCs w:val="24"/>
        </w:rPr>
      </w:pPr>
      <w:r>
        <w:rPr>
          <w:rFonts w:ascii="Arial" w:hAnsi="Arial" w:cs="Arial"/>
          <w:sz w:val="24"/>
          <w:szCs w:val="24"/>
        </w:rPr>
        <w:t>En segundo lugar, debe crearse un registro nacional de contratos de prestación de servicios, con indicadores de duración, objeto, valor y justificación, accesible al público para fortalecer la transparencia. Esta herramienta permitiría identificar patrones de abuso y promover la rendición de cuentas.</w:t>
      </w:r>
    </w:p>
    <w:p w14:paraId="31BD3878" w14:textId="77777777" w:rsidR="00C17147" w:rsidRDefault="008D0971">
      <w:pPr>
        <w:spacing w:line="360" w:lineRule="auto"/>
        <w:jc w:val="both"/>
        <w:rPr>
          <w:rFonts w:ascii="Arial" w:hAnsi="Arial" w:cs="Arial"/>
          <w:sz w:val="24"/>
          <w:szCs w:val="24"/>
        </w:rPr>
      </w:pPr>
      <w:r>
        <w:rPr>
          <w:rFonts w:ascii="Arial" w:hAnsi="Arial" w:cs="Arial"/>
          <w:sz w:val="24"/>
          <w:szCs w:val="24"/>
        </w:rPr>
        <w:t xml:space="preserve">Asimismo, resulta indispensable articular la política de contratación con los Objetivos de Desarrollo Sostenible, especialmente con el ODS 8 y el ODS 16 (Paz, justicia e instituciones sólidas). Como señala PNUD (2022), el fortalecimiento de las </w:t>
      </w:r>
      <w:r>
        <w:rPr>
          <w:rFonts w:ascii="Arial" w:hAnsi="Arial" w:cs="Arial"/>
          <w:sz w:val="24"/>
          <w:szCs w:val="24"/>
        </w:rPr>
        <w:lastRenderedPageBreak/>
        <w:t>instituciones transparentes y la promoción del trabajo decente son condiciones interdependientes para el desarrollo sostenible.</w:t>
      </w:r>
    </w:p>
    <w:p w14:paraId="432C2E2F" w14:textId="77777777" w:rsidR="00C17147" w:rsidRDefault="00C17147">
      <w:pPr>
        <w:spacing w:line="360" w:lineRule="auto"/>
        <w:jc w:val="both"/>
        <w:rPr>
          <w:rFonts w:ascii="Arial" w:hAnsi="Arial" w:cs="Arial"/>
          <w:sz w:val="24"/>
          <w:szCs w:val="24"/>
        </w:rPr>
      </w:pPr>
    </w:p>
    <w:p w14:paraId="10F48BB5" w14:textId="77777777" w:rsidR="00C17147" w:rsidRDefault="008D0971">
      <w:pPr>
        <w:spacing w:line="360" w:lineRule="auto"/>
        <w:jc w:val="both"/>
        <w:rPr>
          <w:rFonts w:ascii="Arial" w:hAnsi="Arial" w:cs="Arial"/>
          <w:sz w:val="24"/>
          <w:szCs w:val="24"/>
        </w:rPr>
      </w:pPr>
      <w:r>
        <w:rPr>
          <w:rFonts w:ascii="Arial" w:hAnsi="Arial" w:cs="Arial"/>
          <w:sz w:val="24"/>
          <w:szCs w:val="24"/>
        </w:rPr>
        <w:t>Por último, es necesario promover una cultura institucional basada en la responsabilidad social del Estado como empleador, lo cual incluye garantizar condiciones justas, estabilidad mínima y respeto por la autonomía profesional del contratista.</w:t>
      </w:r>
    </w:p>
    <w:p w14:paraId="10A04EF0" w14:textId="77777777" w:rsidR="00C17147" w:rsidRDefault="008D0971">
      <w:pPr>
        <w:spacing w:line="360" w:lineRule="auto"/>
        <w:jc w:val="both"/>
        <w:rPr>
          <w:rFonts w:ascii="Arial" w:hAnsi="Arial" w:cs="Arial"/>
          <w:sz w:val="24"/>
          <w:szCs w:val="24"/>
        </w:rPr>
      </w:pPr>
      <w:r>
        <w:rPr>
          <w:rFonts w:ascii="Arial" w:hAnsi="Arial" w:cs="Arial"/>
          <w:sz w:val="24"/>
          <w:szCs w:val="24"/>
        </w:rPr>
        <w:t>Esta relectura normativa y política permitiría devolverle coherencia al sistema, recuperar la eficacia jurídica del contrato de prestación de servicios y restablecer la confianza ciudadana en la administración pública. En definitiva, se trata de pasar de una contratación instrumental a una contratación humanizada, que priorice el servicio al interés general y el respeto por la dignidad del trabajo.</w:t>
      </w:r>
    </w:p>
    <w:p w14:paraId="7100F8CB" w14:textId="77777777" w:rsidR="00C17147" w:rsidRDefault="00C17147">
      <w:pPr>
        <w:spacing w:line="360" w:lineRule="auto"/>
        <w:jc w:val="both"/>
        <w:rPr>
          <w:rFonts w:ascii="Arial" w:hAnsi="Arial" w:cs="Arial"/>
          <w:sz w:val="24"/>
          <w:szCs w:val="24"/>
        </w:rPr>
      </w:pPr>
    </w:p>
    <w:p w14:paraId="4D557902" w14:textId="77777777" w:rsidR="00C17147" w:rsidRDefault="008D0971">
      <w:pPr>
        <w:spacing w:line="360" w:lineRule="auto"/>
        <w:jc w:val="both"/>
        <w:rPr>
          <w:rFonts w:ascii="Arial" w:hAnsi="Arial" w:cs="Arial"/>
          <w:b/>
          <w:bCs/>
          <w:i/>
          <w:iCs/>
          <w:sz w:val="24"/>
          <w:szCs w:val="24"/>
        </w:rPr>
      </w:pPr>
      <w:r>
        <w:rPr>
          <w:rFonts w:ascii="Arial" w:hAnsi="Arial" w:cs="Arial"/>
          <w:b/>
          <w:bCs/>
          <w:i/>
          <w:iCs/>
          <w:sz w:val="24"/>
          <w:szCs w:val="24"/>
        </w:rPr>
        <w:t>Conclusiones.</w:t>
      </w:r>
    </w:p>
    <w:p w14:paraId="631025E7" w14:textId="77777777" w:rsidR="00C17147" w:rsidRDefault="008D0971">
      <w:pPr>
        <w:spacing w:line="360" w:lineRule="auto"/>
        <w:jc w:val="both"/>
        <w:rPr>
          <w:rFonts w:ascii="Arial" w:hAnsi="Arial" w:cs="Arial"/>
          <w:sz w:val="24"/>
          <w:szCs w:val="24"/>
        </w:rPr>
      </w:pPr>
      <w:r>
        <w:rPr>
          <w:rFonts w:ascii="Arial" w:hAnsi="Arial" w:cs="Arial"/>
          <w:sz w:val="24"/>
          <w:szCs w:val="24"/>
        </w:rPr>
        <w:t>El análisis desarrollado a lo largo del artículo permite afirmar que el contrato de prestación de servicios en la Ley 80 de 1993 representa una de las figuras más controvertidas del Derecho Administrativo contemporáneo colombiano. Su sentido original basado en la temporalidad, especialización y autonomía del contratista ha sido desnaturalizado por la práctica administrativa, que lo ha convertido en un mecanismo estructural de vinculación laboral encubierta dentro del Estado.</w:t>
      </w:r>
    </w:p>
    <w:p w14:paraId="7D8B097F" w14:textId="77777777" w:rsidR="00C17147" w:rsidRDefault="008D0971">
      <w:pPr>
        <w:spacing w:line="360" w:lineRule="auto"/>
        <w:jc w:val="both"/>
        <w:rPr>
          <w:rFonts w:ascii="Arial" w:hAnsi="Arial" w:cs="Arial"/>
          <w:sz w:val="24"/>
          <w:szCs w:val="24"/>
        </w:rPr>
      </w:pPr>
      <w:r>
        <w:rPr>
          <w:rFonts w:ascii="Arial" w:hAnsi="Arial" w:cs="Arial"/>
          <w:sz w:val="24"/>
          <w:szCs w:val="24"/>
        </w:rPr>
        <w:t>En primer lugar, se concluye que la eficacia jurídica del contrato ha sido comprometida debido a su uso inadecuado. La norma, concebida para optimizar la gestión pública, ha terminado generando efectos contrarios a su finalidad: precarización del trabajo, pérdida de estabilidad y debilitamiento de la seguridad social. La aplicación reiterada de contratos sucesivos, sin solución de continuidad, demuestra que el instrumento legal se ha transformado en una estrategia para flexibilizar el gasto público, más que</w:t>
      </w:r>
      <w:r>
        <w:rPr>
          <w:rFonts w:ascii="Arial" w:hAnsi="Arial" w:cs="Arial"/>
          <w:sz w:val="24"/>
          <w:szCs w:val="24"/>
        </w:rPr>
        <w:t xml:space="preserve"> en una herramienta de eficiencia estatal (Bernal Pulido, 2019).</w:t>
      </w:r>
    </w:p>
    <w:p w14:paraId="59F853A2" w14:textId="77777777" w:rsidR="00C17147" w:rsidRDefault="008D0971">
      <w:pPr>
        <w:spacing w:line="360" w:lineRule="auto"/>
        <w:jc w:val="both"/>
        <w:rPr>
          <w:rFonts w:ascii="Arial" w:hAnsi="Arial" w:cs="Arial"/>
          <w:sz w:val="24"/>
          <w:szCs w:val="24"/>
        </w:rPr>
      </w:pPr>
      <w:r>
        <w:rPr>
          <w:rFonts w:ascii="Arial" w:hAnsi="Arial" w:cs="Arial"/>
          <w:sz w:val="24"/>
          <w:szCs w:val="24"/>
        </w:rPr>
        <w:lastRenderedPageBreak/>
        <w:t>En segundo lugar, se evidencia que la tensión entre el principio de transparencia y la práctica contractual afecta directamente la legitimidad institucional. La contratación directa de servicios personales, sin competencia ni trazabilidad suficiente, ha propiciado espacios de opacidad y clientelismo, contrarios al artículo 209 de la Constitución y a los postulados de la Ley 80 de 1993. Como advierte Cassagne (2017), la transparencia no se agota en la publicidad de los actos, sino que requiere coherencia mor</w:t>
      </w:r>
      <w:r>
        <w:rPr>
          <w:rFonts w:ascii="Arial" w:hAnsi="Arial" w:cs="Arial"/>
          <w:sz w:val="24"/>
          <w:szCs w:val="24"/>
        </w:rPr>
        <w:t>al y control social sobre las decisiones del poder público.</w:t>
      </w:r>
    </w:p>
    <w:p w14:paraId="26AD497E" w14:textId="77777777" w:rsidR="00C17147" w:rsidRDefault="00C17147">
      <w:pPr>
        <w:spacing w:line="360" w:lineRule="auto"/>
        <w:jc w:val="both"/>
        <w:rPr>
          <w:rFonts w:ascii="Arial" w:hAnsi="Arial" w:cs="Arial"/>
          <w:sz w:val="24"/>
          <w:szCs w:val="24"/>
        </w:rPr>
      </w:pPr>
    </w:p>
    <w:p w14:paraId="60E91FDE" w14:textId="77777777" w:rsidR="00C17147" w:rsidRDefault="008D0971">
      <w:pPr>
        <w:spacing w:line="360" w:lineRule="auto"/>
        <w:jc w:val="both"/>
        <w:rPr>
          <w:rFonts w:ascii="Arial" w:hAnsi="Arial" w:cs="Arial"/>
          <w:sz w:val="24"/>
          <w:szCs w:val="24"/>
        </w:rPr>
      </w:pPr>
      <w:r>
        <w:rPr>
          <w:rFonts w:ascii="Arial" w:hAnsi="Arial" w:cs="Arial"/>
          <w:sz w:val="24"/>
          <w:szCs w:val="24"/>
        </w:rPr>
        <w:t xml:space="preserve">En tercer lugar, se confirma que la expansión del contrato de prestación de servicios vulnera los compromisos asumidos por Colombia en el marco de la Agenda 2030, particularmente el ODS 8, que promueve el trabajo decente y el crecimiento económico inclusivo. La figura contractual, en su forma actual, contradice la noción de empleo digno y perpetúa desigualdades laborales dentro del propio Estado. Este desajuste refleja la distancia entre el discurso del desarrollo sostenible y la realidad de las relaciones </w:t>
      </w:r>
      <w:r>
        <w:rPr>
          <w:rFonts w:ascii="Arial" w:hAnsi="Arial" w:cs="Arial"/>
          <w:sz w:val="24"/>
          <w:szCs w:val="24"/>
        </w:rPr>
        <w:t>laborales en la administración pública.</w:t>
      </w:r>
    </w:p>
    <w:p w14:paraId="6A787138" w14:textId="77777777" w:rsidR="00C17147" w:rsidRDefault="008D0971">
      <w:pPr>
        <w:spacing w:line="360" w:lineRule="auto"/>
        <w:jc w:val="both"/>
        <w:rPr>
          <w:rFonts w:ascii="Arial" w:hAnsi="Arial" w:cs="Arial"/>
          <w:sz w:val="24"/>
          <w:szCs w:val="24"/>
        </w:rPr>
      </w:pPr>
      <w:r>
        <w:rPr>
          <w:rFonts w:ascii="Arial" w:hAnsi="Arial" w:cs="Arial"/>
          <w:sz w:val="24"/>
          <w:szCs w:val="24"/>
        </w:rPr>
        <w:t>Finalmente, se concluye que la problemática trasciende lo jurídico: compromete la ética del servicio público, la equidad social y la confianza ciudadana. Si el Estado no encarna los valores de dignidad, justicia y transparencia, difícilmente puede exigirlos a los particulares. La reflexión sobre el contrato de prestación de servicios invita, entonces, a repensar el papel del Derecho Administrativo como garante de justicia social y no como simple instrumento de gestión burocrática.</w:t>
      </w:r>
    </w:p>
    <w:p w14:paraId="299C6EED" w14:textId="77777777" w:rsidR="00C17147" w:rsidRDefault="00C17147">
      <w:pPr>
        <w:spacing w:line="360" w:lineRule="auto"/>
        <w:jc w:val="both"/>
        <w:rPr>
          <w:rFonts w:ascii="Arial" w:hAnsi="Arial" w:cs="Arial"/>
          <w:b/>
          <w:bCs/>
          <w:i/>
          <w:iCs/>
          <w:sz w:val="24"/>
          <w:szCs w:val="24"/>
        </w:rPr>
      </w:pPr>
    </w:p>
    <w:p w14:paraId="71583E0E" w14:textId="77777777" w:rsidR="00C17147" w:rsidRDefault="008D0971">
      <w:pPr>
        <w:spacing w:line="360" w:lineRule="auto"/>
        <w:jc w:val="both"/>
        <w:rPr>
          <w:rFonts w:ascii="Arial" w:hAnsi="Arial" w:cs="Arial"/>
          <w:b/>
          <w:bCs/>
          <w:i/>
          <w:iCs/>
          <w:sz w:val="24"/>
          <w:szCs w:val="24"/>
        </w:rPr>
      </w:pPr>
      <w:r>
        <w:rPr>
          <w:rFonts w:ascii="Arial" w:hAnsi="Arial" w:cs="Arial"/>
          <w:b/>
          <w:bCs/>
          <w:i/>
          <w:iCs/>
          <w:sz w:val="24"/>
          <w:szCs w:val="24"/>
        </w:rPr>
        <w:t>Recomendaciones</w:t>
      </w:r>
    </w:p>
    <w:p w14:paraId="6151959F" w14:textId="77777777" w:rsidR="00C17147" w:rsidRDefault="008D0971">
      <w:pPr>
        <w:spacing w:line="360" w:lineRule="auto"/>
        <w:jc w:val="both"/>
        <w:rPr>
          <w:rFonts w:ascii="Arial" w:hAnsi="Arial" w:cs="Arial"/>
          <w:sz w:val="24"/>
          <w:szCs w:val="24"/>
        </w:rPr>
      </w:pPr>
      <w:r>
        <w:rPr>
          <w:rFonts w:ascii="Arial" w:hAnsi="Arial" w:cs="Arial"/>
          <w:b/>
          <w:bCs/>
          <w:sz w:val="24"/>
          <w:szCs w:val="24"/>
        </w:rPr>
        <w:t>Reforma normativa con enfoque de dignidad contractual</w:t>
      </w:r>
      <w:r>
        <w:rPr>
          <w:rFonts w:ascii="Arial" w:hAnsi="Arial" w:cs="Arial"/>
          <w:sz w:val="24"/>
          <w:szCs w:val="24"/>
        </w:rPr>
        <w:t>:</w:t>
      </w:r>
    </w:p>
    <w:p w14:paraId="11E5DC64" w14:textId="77777777" w:rsidR="00C17147" w:rsidRDefault="008D0971">
      <w:pPr>
        <w:spacing w:line="360" w:lineRule="auto"/>
        <w:jc w:val="both"/>
        <w:rPr>
          <w:rFonts w:ascii="Arial" w:hAnsi="Arial" w:cs="Arial"/>
          <w:sz w:val="24"/>
          <w:szCs w:val="24"/>
        </w:rPr>
      </w:pPr>
      <w:r>
        <w:rPr>
          <w:rFonts w:ascii="Arial" w:hAnsi="Arial" w:cs="Arial"/>
          <w:sz w:val="24"/>
          <w:szCs w:val="24"/>
        </w:rPr>
        <w:t xml:space="preserve">Se recomienda revisar y modificar la Ley 80 de 1993, estableciendo criterios claros que delimiten los casos excepcionales en los que procede la contratación por prestación de servicios. Esta reforma debería incluir un principio expreso de </w:t>
      </w:r>
      <w:r>
        <w:rPr>
          <w:rFonts w:ascii="Arial" w:hAnsi="Arial" w:cs="Arial"/>
          <w:sz w:val="24"/>
          <w:szCs w:val="24"/>
        </w:rPr>
        <w:lastRenderedPageBreak/>
        <w:t>dignidad contractual, que garantice el respeto a los derechos fundamentales del contratista y prohíba su uso para funciones permanentes o subordinadas.</w:t>
      </w:r>
    </w:p>
    <w:p w14:paraId="3A44A3D2" w14:textId="77777777" w:rsidR="00C17147" w:rsidRDefault="008D0971">
      <w:pPr>
        <w:spacing w:line="360" w:lineRule="auto"/>
        <w:jc w:val="both"/>
        <w:rPr>
          <w:rFonts w:ascii="Arial" w:hAnsi="Arial" w:cs="Arial"/>
          <w:b/>
          <w:bCs/>
          <w:sz w:val="24"/>
          <w:szCs w:val="24"/>
        </w:rPr>
      </w:pPr>
      <w:r>
        <w:rPr>
          <w:rFonts w:ascii="Arial" w:hAnsi="Arial" w:cs="Arial"/>
          <w:b/>
          <w:bCs/>
          <w:sz w:val="24"/>
          <w:szCs w:val="24"/>
        </w:rPr>
        <w:t>Fortalecimiento del control previo y concurrente:</w:t>
      </w:r>
    </w:p>
    <w:p w14:paraId="764D91AB" w14:textId="77777777" w:rsidR="00C17147" w:rsidRDefault="008D0971">
      <w:pPr>
        <w:spacing w:line="360" w:lineRule="auto"/>
        <w:jc w:val="both"/>
        <w:rPr>
          <w:rFonts w:ascii="Arial" w:hAnsi="Arial" w:cs="Arial"/>
          <w:sz w:val="24"/>
          <w:szCs w:val="24"/>
        </w:rPr>
      </w:pPr>
      <w:r>
        <w:rPr>
          <w:rFonts w:ascii="Arial" w:hAnsi="Arial" w:cs="Arial"/>
          <w:sz w:val="24"/>
          <w:szCs w:val="24"/>
        </w:rPr>
        <w:t>Los organismos de control Procuraduría General, Contraloría General y DAFP deben implementar mecanismos preventivos para revisar la legalidad material de los contratos antes de su ejecución. No basta con auditar formalidades; es indispensable verificar si el objeto contractual corresponde efectivamente a un servicio temporal y especializado.</w:t>
      </w:r>
    </w:p>
    <w:p w14:paraId="18DA39EB" w14:textId="77777777" w:rsidR="00C17147" w:rsidRDefault="008D0971">
      <w:pPr>
        <w:spacing w:line="360" w:lineRule="auto"/>
        <w:jc w:val="both"/>
        <w:rPr>
          <w:rFonts w:ascii="Arial" w:hAnsi="Arial" w:cs="Arial"/>
          <w:b/>
          <w:bCs/>
          <w:sz w:val="24"/>
          <w:szCs w:val="24"/>
        </w:rPr>
      </w:pPr>
      <w:r>
        <w:rPr>
          <w:rFonts w:ascii="Arial" w:hAnsi="Arial" w:cs="Arial"/>
          <w:b/>
          <w:bCs/>
          <w:sz w:val="24"/>
          <w:szCs w:val="24"/>
        </w:rPr>
        <w:t>Creación de un registro público de contratos de prestación de servicios:</w:t>
      </w:r>
    </w:p>
    <w:p w14:paraId="06ECBC53" w14:textId="77777777" w:rsidR="00C17147" w:rsidRDefault="008D0971">
      <w:pPr>
        <w:spacing w:line="360" w:lineRule="auto"/>
        <w:jc w:val="both"/>
        <w:rPr>
          <w:rFonts w:ascii="Arial" w:hAnsi="Arial" w:cs="Arial"/>
          <w:sz w:val="24"/>
          <w:szCs w:val="24"/>
        </w:rPr>
      </w:pPr>
      <w:r>
        <w:rPr>
          <w:rFonts w:ascii="Arial" w:hAnsi="Arial" w:cs="Arial"/>
          <w:sz w:val="24"/>
          <w:szCs w:val="24"/>
        </w:rPr>
        <w:t xml:space="preserve">Este sistema, administrado por el SECOP, debería contener información sobre la duración, objeto, valor y dependencia responsable de cada contrato. </w:t>
      </w:r>
    </w:p>
    <w:p w14:paraId="4301685C" w14:textId="77777777" w:rsidR="00C17147" w:rsidRDefault="00C17147">
      <w:pPr>
        <w:spacing w:line="360" w:lineRule="auto"/>
        <w:jc w:val="both"/>
        <w:rPr>
          <w:rFonts w:ascii="Arial" w:hAnsi="Arial" w:cs="Arial"/>
          <w:sz w:val="24"/>
          <w:szCs w:val="24"/>
        </w:rPr>
      </w:pPr>
    </w:p>
    <w:p w14:paraId="280D71B5" w14:textId="77777777" w:rsidR="00C17147" w:rsidRDefault="00C17147">
      <w:pPr>
        <w:spacing w:line="360" w:lineRule="auto"/>
        <w:jc w:val="both"/>
        <w:rPr>
          <w:rFonts w:ascii="Arial" w:hAnsi="Arial" w:cs="Arial"/>
          <w:sz w:val="24"/>
          <w:szCs w:val="24"/>
        </w:rPr>
      </w:pPr>
    </w:p>
    <w:p w14:paraId="26CFEFE4" w14:textId="77777777" w:rsidR="00C17147" w:rsidRDefault="008D0971">
      <w:pPr>
        <w:spacing w:line="360" w:lineRule="auto"/>
        <w:jc w:val="both"/>
        <w:rPr>
          <w:rFonts w:ascii="Arial" w:hAnsi="Arial" w:cs="Arial"/>
          <w:b/>
          <w:bCs/>
          <w:i/>
          <w:iCs/>
          <w:sz w:val="24"/>
          <w:szCs w:val="24"/>
        </w:rPr>
      </w:pPr>
      <w:r>
        <w:rPr>
          <w:rFonts w:ascii="Arial" w:hAnsi="Arial" w:cs="Arial"/>
          <w:b/>
          <w:bCs/>
          <w:i/>
          <w:iCs/>
          <w:sz w:val="24"/>
          <w:szCs w:val="24"/>
        </w:rPr>
        <w:t xml:space="preserve">Referencias bibliográficas. </w:t>
      </w:r>
    </w:p>
    <w:p w14:paraId="1232CE14" w14:textId="77777777" w:rsidR="00C17147" w:rsidRDefault="008D0971">
      <w:pPr>
        <w:spacing w:line="360" w:lineRule="auto"/>
        <w:jc w:val="both"/>
        <w:rPr>
          <w:rFonts w:ascii="Arial" w:hAnsi="Arial" w:cs="Arial"/>
          <w:i/>
          <w:iCs/>
          <w:sz w:val="24"/>
          <w:szCs w:val="24"/>
        </w:rPr>
      </w:pPr>
      <w:r>
        <w:rPr>
          <w:rFonts w:ascii="Arial" w:hAnsi="Arial" w:cs="Arial"/>
          <w:i/>
          <w:iCs/>
          <w:sz w:val="24"/>
          <w:szCs w:val="24"/>
        </w:rPr>
        <w:t>Congreso de la República de Colombia. (1993). Ley 80 de 1993. Por la cual se expide el Estatuto General de Contratación de la Administración Pública. Diario Oficial No. 41.094.</w:t>
      </w:r>
    </w:p>
    <w:p w14:paraId="42189D59" w14:textId="77777777" w:rsidR="00C17147" w:rsidRDefault="008D0971">
      <w:pPr>
        <w:spacing w:line="360" w:lineRule="auto"/>
        <w:jc w:val="both"/>
        <w:rPr>
          <w:rFonts w:ascii="Arial" w:hAnsi="Arial" w:cs="Arial"/>
          <w:i/>
          <w:iCs/>
          <w:sz w:val="24"/>
          <w:szCs w:val="24"/>
        </w:rPr>
      </w:pPr>
      <w:r>
        <w:rPr>
          <w:rFonts w:ascii="Arial" w:hAnsi="Arial" w:cs="Arial"/>
          <w:i/>
          <w:iCs/>
          <w:sz w:val="24"/>
          <w:szCs w:val="24"/>
        </w:rPr>
        <w:t>Congreso de la República de Colombia. (2007). Ley 1150 de 2007. Por medio de la cual se introducen medidas para la eficiencia y la transparencia en la Ley 80 de 1993. Diario Oficial No. 46.691.</w:t>
      </w:r>
    </w:p>
    <w:p w14:paraId="45592F21" w14:textId="77777777" w:rsidR="00C17147" w:rsidRDefault="008D0971">
      <w:pPr>
        <w:spacing w:line="360" w:lineRule="auto"/>
        <w:jc w:val="both"/>
        <w:rPr>
          <w:rFonts w:ascii="Arial" w:hAnsi="Arial" w:cs="Arial"/>
          <w:i/>
          <w:iCs/>
          <w:sz w:val="24"/>
          <w:szCs w:val="24"/>
        </w:rPr>
      </w:pPr>
      <w:r>
        <w:rPr>
          <w:rFonts w:ascii="Arial" w:hAnsi="Arial" w:cs="Arial"/>
          <w:i/>
          <w:iCs/>
          <w:sz w:val="24"/>
          <w:szCs w:val="24"/>
        </w:rPr>
        <w:t>Departamento Administrativo de la Función Pública (DAFP). (2022). Informe sobre la contratación por prestación de servicios en el Estado colombiano. Bogotá D.C.</w:t>
      </w:r>
    </w:p>
    <w:p w14:paraId="0971EFFD" w14:textId="77777777" w:rsidR="00C17147" w:rsidRDefault="008D0971">
      <w:pPr>
        <w:spacing w:line="360" w:lineRule="auto"/>
        <w:jc w:val="both"/>
        <w:rPr>
          <w:rFonts w:ascii="Arial" w:hAnsi="Arial" w:cs="Arial"/>
          <w:i/>
          <w:iCs/>
          <w:sz w:val="24"/>
          <w:szCs w:val="24"/>
        </w:rPr>
      </w:pPr>
      <w:r>
        <w:rPr>
          <w:rFonts w:ascii="Arial" w:hAnsi="Arial" w:cs="Arial"/>
          <w:i/>
          <w:iCs/>
          <w:sz w:val="24"/>
          <w:szCs w:val="24"/>
        </w:rPr>
        <w:t>Organización de las Naciones Unidas. (2015). Agenda 2030 para el Desarrollo Sostenible. Naciones Unidas.</w:t>
      </w:r>
    </w:p>
    <w:p w14:paraId="73107F12" w14:textId="77777777" w:rsidR="00C17147" w:rsidRDefault="008D0971">
      <w:pPr>
        <w:spacing w:line="360" w:lineRule="auto"/>
        <w:jc w:val="both"/>
        <w:rPr>
          <w:rFonts w:ascii="Arial" w:hAnsi="Arial" w:cs="Arial"/>
          <w:i/>
          <w:iCs/>
          <w:sz w:val="24"/>
          <w:szCs w:val="24"/>
        </w:rPr>
      </w:pPr>
      <w:r>
        <w:rPr>
          <w:rFonts w:ascii="Arial" w:hAnsi="Arial" w:cs="Arial"/>
          <w:i/>
          <w:iCs/>
          <w:sz w:val="24"/>
          <w:szCs w:val="24"/>
        </w:rPr>
        <w:t>Amartya Sen. (2000). Desarrollo y libertad. Planeta.</w:t>
      </w:r>
    </w:p>
    <w:p w14:paraId="5AE7BE4A" w14:textId="77777777" w:rsidR="00C17147" w:rsidRDefault="008D0971">
      <w:pPr>
        <w:spacing w:line="360" w:lineRule="auto"/>
        <w:jc w:val="both"/>
        <w:rPr>
          <w:rFonts w:ascii="Arial" w:hAnsi="Arial" w:cs="Arial"/>
          <w:i/>
          <w:iCs/>
          <w:sz w:val="24"/>
          <w:szCs w:val="24"/>
        </w:rPr>
      </w:pPr>
      <w:r>
        <w:rPr>
          <w:rFonts w:ascii="Arial" w:hAnsi="Arial" w:cs="Arial"/>
          <w:i/>
          <w:iCs/>
          <w:sz w:val="24"/>
          <w:szCs w:val="24"/>
        </w:rPr>
        <w:lastRenderedPageBreak/>
        <w:t>Bernal Pulido, C. (2019). El principio de eficacia en el Estado Constitucional. Universidad Externado de Colombia.</w:t>
      </w:r>
    </w:p>
    <w:p w14:paraId="077BF454" w14:textId="77777777" w:rsidR="00C17147" w:rsidRDefault="008D0971">
      <w:pPr>
        <w:spacing w:line="360" w:lineRule="auto"/>
        <w:jc w:val="both"/>
        <w:rPr>
          <w:rFonts w:ascii="Arial" w:hAnsi="Arial" w:cs="Arial"/>
          <w:i/>
          <w:iCs/>
          <w:sz w:val="24"/>
          <w:szCs w:val="24"/>
        </w:rPr>
      </w:pPr>
      <w:r>
        <w:rPr>
          <w:rFonts w:ascii="Arial" w:hAnsi="Arial" w:cs="Arial"/>
          <w:i/>
          <w:iCs/>
          <w:sz w:val="24"/>
          <w:szCs w:val="24"/>
        </w:rPr>
        <w:t>Cassagne, J. C. (2017). El principio de transparencia en la contratación pública. Revista de Derecho Público, 34(2), 45–68.</w:t>
      </w:r>
    </w:p>
    <w:p w14:paraId="3958ED05" w14:textId="77777777" w:rsidR="00C17147" w:rsidRDefault="008D0971">
      <w:pPr>
        <w:spacing w:line="360" w:lineRule="auto"/>
        <w:jc w:val="both"/>
        <w:rPr>
          <w:rFonts w:ascii="Arial" w:hAnsi="Arial" w:cs="Arial"/>
          <w:i/>
          <w:iCs/>
          <w:sz w:val="24"/>
          <w:szCs w:val="24"/>
        </w:rPr>
      </w:pPr>
      <w:r>
        <w:rPr>
          <w:rFonts w:ascii="Arial" w:hAnsi="Arial" w:cs="Arial"/>
          <w:i/>
          <w:iCs/>
          <w:sz w:val="24"/>
          <w:szCs w:val="24"/>
        </w:rPr>
        <w:t>Consejo de Estado, Sección Tercera. (2013). Radicación 11001-03-26-000-2013-00045-00 (CP Enrique Gil Botero).</w:t>
      </w:r>
    </w:p>
    <w:p w14:paraId="23899CA1" w14:textId="77777777" w:rsidR="00C17147" w:rsidRDefault="008D0971">
      <w:pPr>
        <w:spacing w:line="360" w:lineRule="auto"/>
        <w:jc w:val="both"/>
        <w:rPr>
          <w:rFonts w:ascii="Arial" w:hAnsi="Arial" w:cs="Arial"/>
          <w:i/>
          <w:iCs/>
          <w:sz w:val="24"/>
          <w:szCs w:val="24"/>
        </w:rPr>
      </w:pPr>
      <w:r>
        <w:rPr>
          <w:rFonts w:ascii="Arial" w:hAnsi="Arial" w:cs="Arial"/>
          <w:i/>
          <w:iCs/>
          <w:sz w:val="24"/>
          <w:szCs w:val="24"/>
        </w:rPr>
        <w:t>Congreso de la República de Colombia. (1993). Ley 80 de 1993. Por la cual se expide el Estatuto General de Contratación de la Administración Pública. Diario Oficial No. 41.094.</w:t>
      </w:r>
    </w:p>
    <w:p w14:paraId="714A8EB9" w14:textId="77777777" w:rsidR="00C17147" w:rsidRDefault="008D0971">
      <w:pPr>
        <w:spacing w:line="360" w:lineRule="auto"/>
        <w:jc w:val="both"/>
        <w:rPr>
          <w:rFonts w:ascii="Arial" w:hAnsi="Arial" w:cs="Arial"/>
          <w:i/>
          <w:iCs/>
          <w:sz w:val="24"/>
          <w:szCs w:val="24"/>
        </w:rPr>
      </w:pPr>
      <w:r>
        <w:rPr>
          <w:rFonts w:ascii="Arial" w:hAnsi="Arial" w:cs="Arial"/>
          <w:i/>
          <w:iCs/>
          <w:sz w:val="24"/>
          <w:szCs w:val="24"/>
        </w:rPr>
        <w:t>Corte Constitucional. (2019). Sentencia C-949 de 2019. M.P. José Fernando Reyes Cuartas.</w:t>
      </w:r>
    </w:p>
    <w:p w14:paraId="54523EED" w14:textId="77777777" w:rsidR="00C17147" w:rsidRDefault="008D0971">
      <w:pPr>
        <w:spacing w:line="360" w:lineRule="auto"/>
        <w:jc w:val="both"/>
        <w:rPr>
          <w:rFonts w:ascii="Arial" w:hAnsi="Arial" w:cs="Arial"/>
          <w:i/>
          <w:iCs/>
          <w:sz w:val="24"/>
          <w:szCs w:val="24"/>
        </w:rPr>
      </w:pPr>
      <w:r>
        <w:rPr>
          <w:rFonts w:ascii="Arial" w:hAnsi="Arial" w:cs="Arial"/>
          <w:i/>
          <w:iCs/>
          <w:sz w:val="24"/>
          <w:szCs w:val="24"/>
        </w:rPr>
        <w:t>Departamento Administrativo de la Función Pública (DAFP). (2022). Informe sobre la contratación por prestación de servicios en el Estado colombiano. Bogotá D.C.</w:t>
      </w:r>
    </w:p>
    <w:p w14:paraId="7244DD57" w14:textId="77777777" w:rsidR="00C17147" w:rsidRDefault="008D0971">
      <w:pPr>
        <w:spacing w:line="360" w:lineRule="auto"/>
        <w:jc w:val="both"/>
        <w:rPr>
          <w:rFonts w:ascii="Arial" w:hAnsi="Arial" w:cs="Arial"/>
          <w:i/>
          <w:iCs/>
          <w:sz w:val="24"/>
          <w:szCs w:val="24"/>
        </w:rPr>
      </w:pPr>
      <w:r>
        <w:rPr>
          <w:rFonts w:ascii="Arial" w:hAnsi="Arial" w:cs="Arial"/>
          <w:i/>
          <w:iCs/>
          <w:sz w:val="24"/>
          <w:szCs w:val="24"/>
        </w:rPr>
        <w:t xml:space="preserve">García de Enterría, E. (2016). La lucha contra las inmunidades del poder en el Derecho Administrativo. </w:t>
      </w:r>
      <w:proofErr w:type="spellStart"/>
      <w:r>
        <w:rPr>
          <w:rFonts w:ascii="Arial" w:hAnsi="Arial" w:cs="Arial"/>
          <w:i/>
          <w:iCs/>
          <w:sz w:val="24"/>
          <w:szCs w:val="24"/>
        </w:rPr>
        <w:t>Civitas</w:t>
      </w:r>
      <w:proofErr w:type="spellEnd"/>
      <w:r>
        <w:rPr>
          <w:rFonts w:ascii="Arial" w:hAnsi="Arial" w:cs="Arial"/>
          <w:i/>
          <w:iCs/>
          <w:sz w:val="24"/>
          <w:szCs w:val="24"/>
        </w:rPr>
        <w:t>.</w:t>
      </w:r>
    </w:p>
    <w:p w14:paraId="56EC4B3D" w14:textId="77777777" w:rsidR="00C17147" w:rsidRDefault="008D0971">
      <w:pPr>
        <w:spacing w:line="360" w:lineRule="auto"/>
        <w:jc w:val="both"/>
        <w:rPr>
          <w:rFonts w:ascii="Arial" w:hAnsi="Arial" w:cs="Arial"/>
          <w:i/>
          <w:iCs/>
          <w:sz w:val="24"/>
          <w:szCs w:val="24"/>
        </w:rPr>
      </w:pPr>
      <w:r>
        <w:rPr>
          <w:rFonts w:ascii="Arial" w:hAnsi="Arial" w:cs="Arial"/>
          <w:i/>
          <w:iCs/>
          <w:sz w:val="24"/>
          <w:szCs w:val="24"/>
        </w:rPr>
        <w:t>Organización de las Naciones Unidas. (2015). Agenda 2030 para el Desarrollo Sostenible. Naciones Unidas.</w:t>
      </w:r>
    </w:p>
    <w:p w14:paraId="420F4E15" w14:textId="77777777" w:rsidR="00C17147" w:rsidRDefault="008D0971">
      <w:pPr>
        <w:spacing w:line="360" w:lineRule="auto"/>
        <w:jc w:val="both"/>
        <w:rPr>
          <w:rFonts w:ascii="Arial" w:hAnsi="Arial" w:cs="Arial"/>
          <w:i/>
          <w:iCs/>
          <w:sz w:val="24"/>
          <w:szCs w:val="24"/>
        </w:rPr>
      </w:pPr>
      <w:r>
        <w:rPr>
          <w:rFonts w:ascii="Arial" w:hAnsi="Arial" w:cs="Arial"/>
          <w:i/>
          <w:iCs/>
          <w:sz w:val="24"/>
          <w:szCs w:val="24"/>
        </w:rPr>
        <w:t>Organización Internacional del Trabajo (OIT). (2017). Convenios fundamentales sobre el trabajo decente. Ginebra: OIT.</w:t>
      </w:r>
    </w:p>
    <w:p w14:paraId="60335D2F" w14:textId="77777777" w:rsidR="00C17147" w:rsidRDefault="008D0971">
      <w:pPr>
        <w:spacing w:line="360" w:lineRule="auto"/>
        <w:jc w:val="both"/>
        <w:rPr>
          <w:rFonts w:ascii="Arial" w:hAnsi="Arial" w:cs="Arial"/>
          <w:i/>
          <w:iCs/>
          <w:sz w:val="24"/>
          <w:szCs w:val="24"/>
        </w:rPr>
      </w:pPr>
      <w:r>
        <w:rPr>
          <w:rFonts w:ascii="Arial" w:hAnsi="Arial" w:cs="Arial"/>
          <w:i/>
          <w:iCs/>
          <w:sz w:val="24"/>
          <w:szCs w:val="24"/>
        </w:rPr>
        <w:t>Rivero Ortega, R. (2019). El Derecho Administrativo ante los desafíos del desarrollo sostenible. Tirant lo Blanch.</w:t>
      </w:r>
    </w:p>
    <w:p w14:paraId="2D8AC0F2" w14:textId="77777777" w:rsidR="00C17147" w:rsidRDefault="008D0971">
      <w:pPr>
        <w:spacing w:line="360" w:lineRule="auto"/>
        <w:jc w:val="both"/>
        <w:rPr>
          <w:rFonts w:ascii="Arial" w:hAnsi="Arial" w:cs="Arial"/>
          <w:i/>
          <w:iCs/>
          <w:sz w:val="24"/>
          <w:szCs w:val="24"/>
        </w:rPr>
      </w:pPr>
      <w:r>
        <w:rPr>
          <w:rFonts w:ascii="Arial" w:hAnsi="Arial" w:cs="Arial"/>
          <w:i/>
          <w:iCs/>
          <w:sz w:val="24"/>
          <w:szCs w:val="24"/>
        </w:rPr>
        <w:t>Santofimio Gamboa, J. O. (2018). Contratación estatal: fundamentos, principios y perspectivas. Universidad Externado de Colombia.</w:t>
      </w:r>
    </w:p>
    <w:p w14:paraId="3F18DAD5" w14:textId="77777777" w:rsidR="00C17147" w:rsidRDefault="008D0971">
      <w:pPr>
        <w:spacing w:line="360" w:lineRule="auto"/>
        <w:jc w:val="both"/>
        <w:rPr>
          <w:rFonts w:ascii="Arial" w:hAnsi="Arial" w:cs="Arial"/>
          <w:i/>
          <w:iCs/>
          <w:sz w:val="24"/>
          <w:szCs w:val="24"/>
        </w:rPr>
      </w:pPr>
      <w:r>
        <w:rPr>
          <w:rFonts w:ascii="Arial" w:hAnsi="Arial" w:cs="Arial"/>
          <w:i/>
          <w:iCs/>
          <w:sz w:val="24"/>
          <w:szCs w:val="24"/>
        </w:rPr>
        <w:t>Departamento Administrativo Nacional de Estadística (DANE). (2023). Boletín técnico: empleo y contratación por servicios personales en el sector público colombiano. Bogotá D.C.</w:t>
      </w:r>
    </w:p>
    <w:p w14:paraId="378FEBD4" w14:textId="77777777" w:rsidR="00C17147" w:rsidRDefault="008D0971">
      <w:pPr>
        <w:spacing w:line="360" w:lineRule="auto"/>
        <w:jc w:val="both"/>
        <w:rPr>
          <w:rFonts w:ascii="Arial" w:hAnsi="Arial" w:cs="Arial"/>
          <w:i/>
          <w:iCs/>
          <w:sz w:val="24"/>
          <w:szCs w:val="24"/>
        </w:rPr>
      </w:pPr>
      <w:r>
        <w:rPr>
          <w:rFonts w:ascii="Arial" w:hAnsi="Arial" w:cs="Arial"/>
          <w:i/>
          <w:iCs/>
          <w:sz w:val="24"/>
          <w:szCs w:val="24"/>
        </w:rPr>
        <w:lastRenderedPageBreak/>
        <w:t>Departamento Administrativo Nacional de Estadística (DANE). (2023). Boletín técnico: empleo y contratación por servicios personales en el sector público colombiano. Bogotá D.C.</w:t>
      </w:r>
    </w:p>
    <w:p w14:paraId="275704AD" w14:textId="77777777" w:rsidR="00C17147" w:rsidRDefault="008D0971">
      <w:pPr>
        <w:spacing w:line="360" w:lineRule="auto"/>
        <w:jc w:val="both"/>
        <w:rPr>
          <w:rFonts w:ascii="Arial" w:hAnsi="Arial" w:cs="Arial"/>
          <w:i/>
          <w:iCs/>
          <w:sz w:val="24"/>
          <w:szCs w:val="24"/>
        </w:rPr>
      </w:pPr>
      <w:r>
        <w:rPr>
          <w:rFonts w:ascii="Arial" w:hAnsi="Arial" w:cs="Arial"/>
          <w:i/>
          <w:iCs/>
          <w:sz w:val="24"/>
          <w:szCs w:val="24"/>
        </w:rPr>
        <w:t>Espinosa, M. (2021). Precarización laboral y contratación estatal en Colombia. Revista de Derecho Laboral, 19(2), 45–63.</w:t>
      </w:r>
    </w:p>
    <w:p w14:paraId="505B2076" w14:textId="77777777" w:rsidR="00C17147" w:rsidRDefault="008D0971">
      <w:pPr>
        <w:spacing w:line="360" w:lineRule="auto"/>
        <w:jc w:val="both"/>
        <w:rPr>
          <w:rFonts w:ascii="Arial" w:hAnsi="Arial" w:cs="Arial"/>
          <w:i/>
          <w:iCs/>
          <w:sz w:val="24"/>
          <w:szCs w:val="24"/>
        </w:rPr>
      </w:pPr>
      <w:r>
        <w:rPr>
          <w:rFonts w:ascii="Arial" w:hAnsi="Arial" w:cs="Arial"/>
          <w:i/>
          <w:iCs/>
          <w:sz w:val="24"/>
          <w:szCs w:val="24"/>
        </w:rPr>
        <w:t xml:space="preserve">Nieto García, A. (2017). La eficacia del Derecho Administrativo contemporáneo. Madrid: </w:t>
      </w:r>
      <w:proofErr w:type="spellStart"/>
      <w:r>
        <w:rPr>
          <w:rFonts w:ascii="Arial" w:hAnsi="Arial" w:cs="Arial"/>
          <w:i/>
          <w:iCs/>
          <w:sz w:val="24"/>
          <w:szCs w:val="24"/>
        </w:rPr>
        <w:t>Civitas</w:t>
      </w:r>
      <w:proofErr w:type="spellEnd"/>
      <w:r>
        <w:rPr>
          <w:rFonts w:ascii="Arial" w:hAnsi="Arial" w:cs="Arial"/>
          <w:i/>
          <w:iCs/>
          <w:sz w:val="24"/>
          <w:szCs w:val="24"/>
        </w:rPr>
        <w:t>.</w:t>
      </w:r>
    </w:p>
    <w:p w14:paraId="52F930DF" w14:textId="77777777" w:rsidR="00C17147" w:rsidRDefault="008D0971">
      <w:pPr>
        <w:spacing w:line="360" w:lineRule="auto"/>
        <w:jc w:val="both"/>
        <w:rPr>
          <w:rFonts w:ascii="Arial" w:hAnsi="Arial" w:cs="Arial"/>
          <w:i/>
          <w:iCs/>
          <w:sz w:val="24"/>
          <w:szCs w:val="24"/>
        </w:rPr>
      </w:pPr>
      <w:r>
        <w:rPr>
          <w:rFonts w:ascii="Arial" w:hAnsi="Arial" w:cs="Arial"/>
          <w:i/>
          <w:iCs/>
          <w:sz w:val="24"/>
          <w:szCs w:val="24"/>
        </w:rPr>
        <w:t>Pizarro León-Gómez, A. (2020). La administración pública como empleadora ejemplar: ética y responsabilidad social. Universidad de los Andes.</w:t>
      </w:r>
    </w:p>
    <w:p w14:paraId="3CD4CB54" w14:textId="77777777" w:rsidR="00C17147" w:rsidRDefault="008D0971">
      <w:pPr>
        <w:spacing w:line="360" w:lineRule="auto"/>
        <w:jc w:val="both"/>
        <w:rPr>
          <w:rFonts w:ascii="Arial" w:hAnsi="Arial" w:cs="Arial"/>
          <w:i/>
          <w:iCs/>
          <w:sz w:val="24"/>
          <w:szCs w:val="24"/>
        </w:rPr>
      </w:pPr>
      <w:r>
        <w:rPr>
          <w:rFonts w:ascii="Arial" w:hAnsi="Arial" w:cs="Arial"/>
          <w:i/>
          <w:iCs/>
          <w:sz w:val="24"/>
          <w:szCs w:val="24"/>
        </w:rPr>
        <w:t>Programa de las Naciones Unidas para el Desarrollo (PNUD). (2022). Informe sobre gobernanza y desarrollo sostenible en América Latina. Naciones Unidas.</w:t>
      </w:r>
    </w:p>
    <w:p w14:paraId="4A893A12" w14:textId="77777777" w:rsidR="00C17147" w:rsidRDefault="008D0971">
      <w:pPr>
        <w:spacing w:line="360" w:lineRule="auto"/>
        <w:jc w:val="both"/>
        <w:rPr>
          <w:rFonts w:ascii="Arial" w:hAnsi="Arial" w:cs="Arial"/>
          <w:i/>
          <w:iCs/>
          <w:sz w:val="24"/>
          <w:szCs w:val="24"/>
        </w:rPr>
      </w:pPr>
      <w:r>
        <w:rPr>
          <w:rFonts w:ascii="Arial" w:hAnsi="Arial" w:cs="Arial"/>
          <w:i/>
          <w:iCs/>
          <w:sz w:val="24"/>
          <w:szCs w:val="24"/>
        </w:rPr>
        <w:t>Rawls, J. (2006). Teoría de la justicia. Fondo de Cultura Económica.</w:t>
      </w:r>
    </w:p>
    <w:p w14:paraId="0D85953E" w14:textId="77777777" w:rsidR="00C17147" w:rsidRDefault="008D0971">
      <w:pPr>
        <w:spacing w:line="360" w:lineRule="auto"/>
        <w:jc w:val="both"/>
        <w:rPr>
          <w:rFonts w:ascii="Arial" w:hAnsi="Arial" w:cs="Arial"/>
          <w:i/>
          <w:iCs/>
          <w:sz w:val="24"/>
          <w:szCs w:val="24"/>
        </w:rPr>
      </w:pPr>
      <w:r>
        <w:rPr>
          <w:rFonts w:ascii="Arial" w:hAnsi="Arial" w:cs="Arial"/>
          <w:i/>
          <w:iCs/>
          <w:sz w:val="24"/>
          <w:szCs w:val="24"/>
        </w:rPr>
        <w:t>Consejo de Estado, Sección Segunda. (2016). Radicación 11001-03-25-000-2016-00256-00 (CP William Hernández Gómez).</w:t>
      </w:r>
    </w:p>
    <w:sectPr w:rsidR="00C1714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EAB59" w14:textId="77777777" w:rsidR="008D0971" w:rsidRDefault="008D0971">
      <w:pPr>
        <w:spacing w:line="240" w:lineRule="auto"/>
      </w:pPr>
      <w:r>
        <w:separator/>
      </w:r>
    </w:p>
  </w:endnote>
  <w:endnote w:type="continuationSeparator" w:id="0">
    <w:p w14:paraId="442CEBF9" w14:textId="77777777" w:rsidR="008D0971" w:rsidRDefault="008D09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968B2" w14:textId="77777777" w:rsidR="008D0971" w:rsidRDefault="008D0971">
      <w:pPr>
        <w:spacing w:after="0"/>
      </w:pPr>
      <w:r>
        <w:separator/>
      </w:r>
    </w:p>
  </w:footnote>
  <w:footnote w:type="continuationSeparator" w:id="0">
    <w:p w14:paraId="528AE25C" w14:textId="77777777" w:rsidR="008D0971" w:rsidRDefault="008D0971">
      <w:pPr>
        <w:spacing w:after="0"/>
      </w:pPr>
      <w:r>
        <w:continuationSeparator/>
      </w:r>
    </w:p>
  </w:footnote>
  <w:footnote w:id="1">
    <w:p w14:paraId="6C8D6E67" w14:textId="1381BE48" w:rsidR="00951E2D" w:rsidRPr="00951E2D" w:rsidRDefault="00951E2D">
      <w:pPr>
        <w:pStyle w:val="Textonotapie"/>
        <w:rPr>
          <w:lang w:val="es-ES"/>
        </w:rPr>
      </w:pPr>
      <w:r>
        <w:rPr>
          <w:rStyle w:val="Refdenotaalpie"/>
        </w:rPr>
        <w:footnoteRef/>
      </w:r>
      <w:r>
        <w:t xml:space="preserve"> </w:t>
      </w:r>
      <w:r>
        <w:rPr>
          <w:lang w:val="es-ES"/>
        </w:rPr>
        <w:t xml:space="preserve">Estudiante Especialización Contratación Estatal. Universidad del Sinú “Elías Bechara Zainum”. </w:t>
      </w:r>
    </w:p>
  </w:footnote>
  <w:footnote w:id="2">
    <w:p w14:paraId="4ADCF0E9" w14:textId="29B600E9" w:rsidR="00951E2D" w:rsidRPr="00951E2D" w:rsidRDefault="00951E2D">
      <w:pPr>
        <w:pStyle w:val="Textonotapie"/>
        <w:rPr>
          <w:lang w:val="es-ES"/>
        </w:rPr>
      </w:pPr>
      <w:r>
        <w:rPr>
          <w:rStyle w:val="Refdenotaalpie"/>
        </w:rPr>
        <w:footnoteRef/>
      </w:r>
      <w:r>
        <w:t xml:space="preserve"> </w:t>
      </w:r>
      <w:r>
        <w:rPr>
          <w:lang w:val="es-ES"/>
        </w:rPr>
        <w:t xml:space="preserve">Docentes Programa de Derecho Universidad del Sinú </w:t>
      </w:r>
      <w:r>
        <w:rPr>
          <w:lang w:val="es-ES"/>
        </w:rPr>
        <w:t>“Elías Bechara Zainum”.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505"/>
    <w:rsid w:val="0031513C"/>
    <w:rsid w:val="00362861"/>
    <w:rsid w:val="004F187A"/>
    <w:rsid w:val="005C4E51"/>
    <w:rsid w:val="00621D30"/>
    <w:rsid w:val="006965E2"/>
    <w:rsid w:val="0078170F"/>
    <w:rsid w:val="00783AEC"/>
    <w:rsid w:val="007F2D72"/>
    <w:rsid w:val="008D0971"/>
    <w:rsid w:val="00910505"/>
    <w:rsid w:val="00951E2D"/>
    <w:rsid w:val="00B5794A"/>
    <w:rsid w:val="00BB71DD"/>
    <w:rsid w:val="00C17147"/>
    <w:rsid w:val="00D40277"/>
    <w:rsid w:val="00E53954"/>
    <w:rsid w:val="00FA2229"/>
    <w:rsid w:val="723E2828"/>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B91C0"/>
  <w15:docId w15:val="{B3846C1B-3054-4386-9107-EB1B0C442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951E2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51E2D"/>
    <w:rPr>
      <w:lang w:eastAsia="en-US"/>
    </w:rPr>
  </w:style>
  <w:style w:type="character" w:styleId="Refdenotaalpie">
    <w:name w:val="footnote reference"/>
    <w:basedOn w:val="Fuentedeprrafopredeter"/>
    <w:uiPriority w:val="99"/>
    <w:semiHidden/>
    <w:unhideWhenUsed/>
    <w:rsid w:val="00951E2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1AF9D-62EC-45F1-8EE0-70064D3EA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4732</Words>
  <Characters>26028</Characters>
  <Application>Microsoft Office Word</Application>
  <DocSecurity>0</DocSecurity>
  <Lines>216</Lines>
  <Paragraphs>61</Paragraphs>
  <ScaleCrop>false</ScaleCrop>
  <Company/>
  <LinksUpToDate>false</LinksUpToDate>
  <CharactersWithSpaces>30699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Hernández Dager Hernández Dager</dc:creator>
  <cp:lastModifiedBy>Benitez Izquierdo,Martha Cecilia</cp:lastModifiedBy>
  <cp:revision>2</cp:revision>
  <dcterms:created xsi:type="dcterms:W3CDTF">2026-07-14T21:11:00Z</dcterms:created>
  <dcterms:modified xsi:type="dcterms:W3CDTF">2026-07-14T21:11:00Z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3082-12.2.0.23131</vt:lpwstr>
  </property>
  <property fmtid="{D5CDD505-2E9C-101B-9397-08002B2CF9AE}" pid="3" name="ICV">
    <vt:lpwstr>2FE2CDB9893048D8826168C38CA9988B_13</vt:lpwstr>
  </property>
</Properties>
</file>