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B0964" w14:textId="24CBC8CD" w:rsidR="009352CB" w:rsidRPr="008A08BC" w:rsidRDefault="008A08BC" w:rsidP="008A08BC">
      <w:pPr>
        <w:spacing w:line="240" w:lineRule="auto"/>
        <w:rPr>
          <w:rFonts w:ascii="Times New Roman" w:hAnsi="Times New Roman" w:cs="Times New Roman"/>
          <w:b/>
          <w:bCs/>
          <w:sz w:val="24"/>
          <w:szCs w:val="24"/>
        </w:rPr>
      </w:pPr>
      <w:r w:rsidRPr="008A08BC">
        <w:rPr>
          <w:rFonts w:ascii="Times New Roman" w:hAnsi="Times New Roman" w:cs="Times New Roman"/>
          <w:b/>
          <w:bCs/>
          <w:sz w:val="24"/>
          <w:szCs w:val="24"/>
        </w:rPr>
        <w:t xml:space="preserve">                                                                                                                                                                                                                                                                                                                                                                                   </w:t>
      </w:r>
    </w:p>
    <w:p w14:paraId="0549CB2F" w14:textId="3888E01D" w:rsidR="009352CB" w:rsidRPr="00D26DB1" w:rsidRDefault="008A08BC" w:rsidP="00A255D8">
      <w:pPr>
        <w:spacing w:after="0" w:line="240" w:lineRule="auto"/>
        <w:jc w:val="center"/>
        <w:rPr>
          <w:rFonts w:ascii="Times New Roman" w:hAnsi="Times New Roman" w:cs="Times New Roman"/>
          <w:sz w:val="24"/>
          <w:szCs w:val="24"/>
        </w:rPr>
      </w:pPr>
      <w:r w:rsidRPr="008A08BC">
        <w:rPr>
          <w:rFonts w:ascii="Times New Roman" w:hAnsi="Times New Roman" w:cs="Times New Roman"/>
          <w:b/>
          <w:bCs/>
          <w:sz w:val="24"/>
          <w:szCs w:val="24"/>
          <w:lang w:val="es-ES"/>
        </w:rPr>
        <w:t>EL PRINCIPIO DE SELECCIÓN OBJETIVA FRENTE A LA SUSCRIPCIÓN DE CONTRATOS ESTATALES EN CONTEXTOS DE URGENCIA MANIFIESTA</w:t>
      </w:r>
    </w:p>
    <w:p w14:paraId="48BD8E3A" w14:textId="3739FB60" w:rsidR="00A5634C" w:rsidRDefault="00422A68" w:rsidP="00A255D8">
      <w:pPr>
        <w:spacing w:after="0" w:line="240" w:lineRule="auto"/>
        <w:jc w:val="center"/>
        <w:rPr>
          <w:rFonts w:ascii="Times New Roman" w:hAnsi="Times New Roman" w:cs="Times New Roman"/>
          <w:sz w:val="24"/>
          <w:szCs w:val="24"/>
        </w:rPr>
      </w:pPr>
      <w:r w:rsidRPr="00493B21">
        <w:rPr>
          <w:rFonts w:ascii="Times New Roman" w:hAnsi="Times New Roman" w:cs="Times New Roman"/>
          <w:sz w:val="24"/>
          <w:szCs w:val="24"/>
          <w:lang w:val="es-ES"/>
        </w:rPr>
        <w:t>Lorrayne Barrios Merlano</w:t>
      </w:r>
      <w:r w:rsidRPr="00493B21">
        <w:rPr>
          <w:rFonts w:ascii="Times New Roman" w:hAnsi="Times New Roman" w:cs="Times New Roman"/>
          <w:sz w:val="24"/>
          <w:szCs w:val="24"/>
        </w:rPr>
        <w:t xml:space="preserve"> </w:t>
      </w:r>
      <w:r w:rsidR="00A5634C" w:rsidRPr="00493B21">
        <w:rPr>
          <w:rFonts w:ascii="Times New Roman" w:hAnsi="Times New Roman" w:cs="Times New Roman"/>
          <w:sz w:val="24"/>
          <w:szCs w:val="24"/>
        </w:rPr>
        <w:t>(</w:t>
      </w:r>
      <w:hyperlink r:id="rId8" w:history="1">
        <w:r w:rsidR="00B35DF6" w:rsidRPr="00493B21">
          <w:rPr>
            <w:rStyle w:val="Hipervnculo"/>
            <w:rFonts w:ascii="Times New Roman" w:hAnsi="Times New Roman" w:cs="Times New Roman"/>
            <w:sz w:val="24"/>
            <w:szCs w:val="24"/>
          </w:rPr>
          <w:t>coordinvestiderecho@unisinucartagena.edu.co</w:t>
        </w:r>
      </w:hyperlink>
      <w:r w:rsidR="00A5634C" w:rsidRPr="00493B21">
        <w:rPr>
          <w:rFonts w:ascii="Times New Roman" w:hAnsi="Times New Roman" w:cs="Times New Roman"/>
          <w:sz w:val="24"/>
          <w:szCs w:val="24"/>
        </w:rPr>
        <w:t>)</w:t>
      </w:r>
      <w:r w:rsidR="00B35DF6" w:rsidRPr="00493B21">
        <w:rPr>
          <w:rStyle w:val="Refdenotaalpie"/>
          <w:rFonts w:ascii="Times New Roman" w:hAnsi="Times New Roman" w:cs="Times New Roman"/>
          <w:sz w:val="24"/>
          <w:szCs w:val="24"/>
        </w:rPr>
        <w:footnoteReference w:id="1"/>
      </w:r>
    </w:p>
    <w:p w14:paraId="14ED89E9" w14:textId="77777777" w:rsidR="00B35DF6" w:rsidRPr="00D26DB1" w:rsidRDefault="00B35DF6" w:rsidP="00A255D8">
      <w:pPr>
        <w:pStyle w:val="Textonotapie"/>
        <w:jc w:val="center"/>
        <w:rPr>
          <w:rFonts w:ascii="Times New Roman" w:hAnsi="Times New Roman" w:cs="Times New Roman"/>
          <w:sz w:val="24"/>
          <w:szCs w:val="24"/>
        </w:rPr>
      </w:pPr>
    </w:p>
    <w:p w14:paraId="01E5E950" w14:textId="77777777" w:rsidR="009352CB" w:rsidRDefault="009352CB" w:rsidP="00A255D8">
      <w:pPr>
        <w:spacing w:after="0" w:line="240" w:lineRule="auto"/>
        <w:jc w:val="center"/>
        <w:rPr>
          <w:rFonts w:ascii="Times New Roman" w:hAnsi="Times New Roman" w:cs="Times New Roman"/>
          <w:b/>
          <w:sz w:val="24"/>
          <w:szCs w:val="24"/>
        </w:rPr>
      </w:pPr>
    </w:p>
    <w:p w14:paraId="01D1E4B0" w14:textId="21E8FAB0" w:rsidR="00FE4463" w:rsidRPr="00D26DB1" w:rsidRDefault="00FE4463" w:rsidP="00A255D8">
      <w:pPr>
        <w:spacing w:after="0" w:line="240" w:lineRule="auto"/>
        <w:jc w:val="center"/>
        <w:rPr>
          <w:rFonts w:ascii="Times New Roman" w:hAnsi="Times New Roman" w:cs="Times New Roman"/>
          <w:b/>
          <w:sz w:val="24"/>
          <w:szCs w:val="24"/>
        </w:rPr>
      </w:pPr>
      <w:r w:rsidRPr="00D26DB1">
        <w:rPr>
          <w:rFonts w:ascii="Times New Roman" w:hAnsi="Times New Roman" w:cs="Times New Roman"/>
          <w:b/>
          <w:sz w:val="24"/>
          <w:szCs w:val="24"/>
        </w:rPr>
        <w:t>Resumen</w:t>
      </w:r>
    </w:p>
    <w:p w14:paraId="6C3EDC9F" w14:textId="5063EBF8" w:rsidR="00FE4463" w:rsidRDefault="00B35DF6" w:rsidP="00A255D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5E4E70D" w14:textId="6247DBFB" w:rsidR="00877630" w:rsidRDefault="00877630" w:rsidP="00380498">
      <w:pPr>
        <w:spacing w:line="480" w:lineRule="auto"/>
        <w:ind w:firstLine="708"/>
        <w:jc w:val="both"/>
        <w:rPr>
          <w:rFonts w:ascii="Times New Roman" w:eastAsia="Arial" w:hAnsi="Times New Roman" w:cs="Times New Roman"/>
          <w:sz w:val="24"/>
          <w:szCs w:val="24"/>
        </w:rPr>
      </w:pPr>
      <w:r w:rsidRPr="00877630">
        <w:rPr>
          <w:rFonts w:ascii="Times New Roman" w:eastAsia="Arial" w:hAnsi="Times New Roman" w:cs="Times New Roman"/>
          <w:sz w:val="24"/>
          <w:szCs w:val="24"/>
        </w:rPr>
        <w:t>El principio de selección objetiva constituye uno de los</w:t>
      </w:r>
      <w:r w:rsidR="00B5660F">
        <w:rPr>
          <w:rFonts w:ascii="Times New Roman" w:eastAsia="Arial" w:hAnsi="Times New Roman" w:cs="Times New Roman"/>
          <w:sz w:val="24"/>
          <w:szCs w:val="24"/>
        </w:rPr>
        <w:t xml:space="preserve"> principios esenciales</w:t>
      </w:r>
      <w:r w:rsidRPr="00877630">
        <w:rPr>
          <w:rFonts w:ascii="Times New Roman" w:eastAsia="Arial" w:hAnsi="Times New Roman" w:cs="Times New Roman"/>
          <w:sz w:val="24"/>
          <w:szCs w:val="24"/>
        </w:rPr>
        <w:t xml:space="preserve"> de la contratación estatal en Colombia, orientado a garantizar la transparencia, la igualdad y la eficiencia en la adjudicación de contratos. Sin embargo, en situaciones de urgencia manifiesta, previstas en la Ley 80 de 1993, las entidades estatales pueden acudir a la contratación directa como mecanismo excepcional, reduciendo </w:t>
      </w:r>
      <w:r w:rsidR="00C86AD5">
        <w:rPr>
          <w:rFonts w:ascii="Times New Roman" w:eastAsia="Arial" w:hAnsi="Times New Roman" w:cs="Times New Roman"/>
          <w:sz w:val="24"/>
          <w:szCs w:val="24"/>
        </w:rPr>
        <w:t xml:space="preserve">la pluralidad de oferentes </w:t>
      </w:r>
      <w:r w:rsidR="00B5660F">
        <w:rPr>
          <w:rFonts w:ascii="Times New Roman" w:eastAsia="Arial" w:hAnsi="Times New Roman" w:cs="Times New Roman"/>
          <w:sz w:val="24"/>
          <w:szCs w:val="24"/>
        </w:rPr>
        <w:t>excluyendo</w:t>
      </w:r>
      <w:r w:rsidR="00C86AD5">
        <w:rPr>
          <w:rFonts w:ascii="Times New Roman" w:eastAsia="Arial" w:hAnsi="Times New Roman" w:cs="Times New Roman"/>
          <w:sz w:val="24"/>
          <w:szCs w:val="24"/>
        </w:rPr>
        <w:t xml:space="preserve"> las demás modalidades. </w:t>
      </w:r>
      <w:r w:rsidR="00B5660F">
        <w:rPr>
          <w:rFonts w:ascii="Times New Roman" w:eastAsia="Arial" w:hAnsi="Times New Roman" w:cs="Times New Roman"/>
          <w:sz w:val="24"/>
          <w:szCs w:val="24"/>
        </w:rPr>
        <w:t>El presente articulo</w:t>
      </w:r>
      <w:r w:rsidRPr="00877630">
        <w:rPr>
          <w:rFonts w:ascii="Times New Roman" w:eastAsia="Arial" w:hAnsi="Times New Roman" w:cs="Times New Roman"/>
          <w:sz w:val="24"/>
          <w:szCs w:val="24"/>
        </w:rPr>
        <w:t xml:space="preserve"> tiene como objetivo determinar si la aplicación de la urgencia manifiesta afecta el principio de selección objetiva, a partir del análisis jurídico de las normas, la jurisprudencia del Consejo de Estado y </w:t>
      </w:r>
      <w:r w:rsidR="00C45FA3">
        <w:rPr>
          <w:rFonts w:ascii="Times New Roman" w:eastAsia="Arial" w:hAnsi="Times New Roman" w:cs="Times New Roman"/>
          <w:sz w:val="24"/>
          <w:szCs w:val="24"/>
        </w:rPr>
        <w:t xml:space="preserve">la revisión de antecedentes </w:t>
      </w:r>
      <w:r w:rsidRPr="00877630">
        <w:rPr>
          <w:rFonts w:ascii="Times New Roman" w:eastAsia="Arial" w:hAnsi="Times New Roman" w:cs="Times New Roman"/>
          <w:sz w:val="24"/>
          <w:szCs w:val="24"/>
        </w:rPr>
        <w:t>que evidenci</w:t>
      </w:r>
      <w:r w:rsidR="00C45FA3">
        <w:rPr>
          <w:rFonts w:ascii="Times New Roman" w:eastAsia="Arial" w:hAnsi="Times New Roman" w:cs="Times New Roman"/>
          <w:sz w:val="24"/>
          <w:szCs w:val="24"/>
        </w:rPr>
        <w:t>en</w:t>
      </w:r>
      <w:r w:rsidRPr="00877630">
        <w:rPr>
          <w:rFonts w:ascii="Times New Roman" w:eastAsia="Arial" w:hAnsi="Times New Roman" w:cs="Times New Roman"/>
          <w:sz w:val="24"/>
          <w:szCs w:val="24"/>
        </w:rPr>
        <w:t xml:space="preserve"> riesgos de discrecionalidad y posibles actos de corrupción. La metodología es de enfoque cualitativo, con carácter jurídico-descriptivo, basada en la revisión normativa, doctrinal y jurisprudencial. Como resultado se espera aportar criterios que fortalezcan el control y la transparencia en el uso de esta figura, garantizando la protección de los recursos públicos y el interés general.</w:t>
      </w:r>
    </w:p>
    <w:p w14:paraId="317B4A89" w14:textId="5B335910" w:rsidR="009F2E76" w:rsidRPr="00380498" w:rsidRDefault="00877630" w:rsidP="00380498">
      <w:pPr>
        <w:spacing w:line="480" w:lineRule="auto"/>
        <w:ind w:firstLine="708"/>
        <w:jc w:val="both"/>
        <w:rPr>
          <w:rFonts w:ascii="Arial Narrow" w:hAnsi="Arial Narrow"/>
          <w:b/>
          <w:bCs/>
          <w:sz w:val="28"/>
          <w:szCs w:val="28"/>
        </w:rPr>
      </w:pPr>
      <w:r w:rsidRPr="00877630">
        <w:rPr>
          <w:rFonts w:ascii="Times New Roman" w:eastAsia="Arial" w:hAnsi="Times New Roman" w:cs="Times New Roman"/>
          <w:b/>
          <w:bCs/>
          <w:sz w:val="24"/>
          <w:szCs w:val="24"/>
        </w:rPr>
        <w:t>Palabras clave:</w:t>
      </w:r>
      <w:r w:rsidRPr="00877630">
        <w:rPr>
          <w:rFonts w:ascii="Times New Roman" w:eastAsia="Arial" w:hAnsi="Times New Roman" w:cs="Times New Roman"/>
          <w:sz w:val="24"/>
          <w:szCs w:val="24"/>
        </w:rPr>
        <w:t xml:space="preserve"> contratación estatal, selección objetiva, urgencia manifiesta, </w:t>
      </w:r>
      <w:r w:rsidR="00C86AD5">
        <w:rPr>
          <w:rFonts w:ascii="Times New Roman" w:eastAsia="Arial" w:hAnsi="Times New Roman" w:cs="Times New Roman"/>
          <w:sz w:val="24"/>
          <w:szCs w:val="24"/>
        </w:rPr>
        <w:t xml:space="preserve">principio de </w:t>
      </w:r>
      <w:r w:rsidRPr="00877630">
        <w:rPr>
          <w:rFonts w:ascii="Times New Roman" w:eastAsia="Arial" w:hAnsi="Times New Roman" w:cs="Times New Roman"/>
          <w:sz w:val="24"/>
          <w:szCs w:val="24"/>
        </w:rPr>
        <w:t>transparencia.</w:t>
      </w:r>
      <w:r w:rsidR="00B35DF6">
        <w:rPr>
          <w:rFonts w:ascii="Arial Narrow" w:hAnsi="Arial Narrow"/>
          <w:b/>
          <w:bCs/>
          <w:sz w:val="28"/>
          <w:szCs w:val="28"/>
        </w:rPr>
        <w:t xml:space="preserve">                                                                                                                                                                                                                                                                                                                                                                                                                                                                  </w:t>
      </w:r>
      <w:bookmarkStart w:id="0" w:name="OLE_LINK29"/>
    </w:p>
    <w:p w14:paraId="69CD4E90" w14:textId="2DDA91CE" w:rsidR="00434100" w:rsidRPr="008D0528" w:rsidRDefault="00DA1321" w:rsidP="008D0528">
      <w:pPr>
        <w:pStyle w:val="Prrafodelista"/>
        <w:numPr>
          <w:ilvl w:val="0"/>
          <w:numId w:val="34"/>
        </w:numPr>
        <w:spacing w:after="120" w:line="480" w:lineRule="auto"/>
        <w:jc w:val="center"/>
        <w:rPr>
          <w:rFonts w:ascii="Times New Roman" w:hAnsi="Times New Roman" w:cs="Times New Roman"/>
          <w:b/>
          <w:sz w:val="24"/>
          <w:szCs w:val="24"/>
        </w:rPr>
      </w:pPr>
      <w:r w:rsidRPr="00772815">
        <w:rPr>
          <w:rFonts w:ascii="Times New Roman" w:hAnsi="Times New Roman" w:cs="Times New Roman"/>
          <w:b/>
          <w:sz w:val="24"/>
          <w:szCs w:val="24"/>
        </w:rPr>
        <w:lastRenderedPageBreak/>
        <w:t>Introducción</w:t>
      </w:r>
      <w:bookmarkStart w:id="1" w:name="_Toc485949348"/>
      <w:bookmarkStart w:id="2" w:name="OLE_LINK13"/>
      <w:bookmarkStart w:id="3" w:name="OLE_LINK14"/>
      <w:bookmarkEnd w:id="0"/>
    </w:p>
    <w:bookmarkEnd w:id="1"/>
    <w:p w14:paraId="6D41B688" w14:textId="3E59D059" w:rsidR="008A08BC" w:rsidRPr="008A08BC" w:rsidRDefault="008A08BC" w:rsidP="008A08BC">
      <w:pPr>
        <w:spacing w:after="120" w:line="480" w:lineRule="auto"/>
        <w:ind w:firstLine="709"/>
        <w:jc w:val="both"/>
        <w:rPr>
          <w:rFonts w:ascii="Times New Roman" w:hAnsi="Times New Roman" w:cs="Times New Roman"/>
          <w:sz w:val="24"/>
          <w:szCs w:val="24"/>
          <w:lang w:val="es-CO"/>
        </w:rPr>
      </w:pPr>
      <w:r w:rsidRPr="008A08BC">
        <w:rPr>
          <w:rFonts w:ascii="Times New Roman" w:hAnsi="Times New Roman" w:cs="Times New Roman"/>
          <w:sz w:val="24"/>
          <w:szCs w:val="24"/>
          <w:lang w:val="es-CO"/>
        </w:rPr>
        <w:t xml:space="preserve">La contratación estatal en Colombia, regulada por la Ley 80 de 1993 y sus reformas, constituye uno de los mecanismos más relevantes para la gestión de los recursos públicos, al permitir la adquisición de bienes, servicios </w:t>
      </w:r>
      <w:r w:rsidR="008D6CF0">
        <w:rPr>
          <w:rFonts w:ascii="Times New Roman" w:hAnsi="Times New Roman" w:cs="Times New Roman"/>
          <w:sz w:val="24"/>
          <w:szCs w:val="24"/>
          <w:lang w:val="es-CO"/>
        </w:rPr>
        <w:t>e implementación de obras</w:t>
      </w:r>
      <w:r w:rsidRPr="008A08BC">
        <w:rPr>
          <w:rFonts w:ascii="Times New Roman" w:hAnsi="Times New Roman" w:cs="Times New Roman"/>
          <w:sz w:val="24"/>
          <w:szCs w:val="24"/>
          <w:lang w:val="es-CO"/>
        </w:rPr>
        <w:t xml:space="preserve"> necesarias para el cumplimiento de los fines del Estado. Este sistema se fundamenta en principios como la transparencia, la economía, la responsabilidad y, especialmente, la selección objetiva, que busca garantizar procesos de adjudicación justos y basados en criterios verificables. Sin embargo, en contextos de emergencia, tales como desastres naturales, crisis sanitarias o situaciones de orden público, las entidades estatales pueden acudir a la contratación directa bajo la figura de la urgencia manifiesta,</w:t>
      </w:r>
      <w:r w:rsidR="008D6CF0">
        <w:rPr>
          <w:rFonts w:ascii="Times New Roman" w:hAnsi="Times New Roman" w:cs="Times New Roman"/>
          <w:sz w:val="24"/>
          <w:szCs w:val="24"/>
          <w:lang w:val="es-CO"/>
        </w:rPr>
        <w:t xml:space="preserve"> sustituyendo</w:t>
      </w:r>
      <w:r w:rsidRPr="008A08BC">
        <w:rPr>
          <w:rFonts w:ascii="Times New Roman" w:hAnsi="Times New Roman" w:cs="Times New Roman"/>
          <w:sz w:val="24"/>
          <w:szCs w:val="24"/>
          <w:lang w:val="es-CO"/>
        </w:rPr>
        <w:t xml:space="preserve"> los</w:t>
      </w:r>
      <w:r w:rsidR="00570D30">
        <w:rPr>
          <w:rFonts w:ascii="Times New Roman" w:hAnsi="Times New Roman" w:cs="Times New Roman"/>
          <w:sz w:val="24"/>
          <w:szCs w:val="24"/>
          <w:lang w:val="es-CO"/>
        </w:rPr>
        <w:t xml:space="preserve"> </w:t>
      </w:r>
      <w:r w:rsidRPr="008A08BC">
        <w:rPr>
          <w:rFonts w:ascii="Times New Roman" w:hAnsi="Times New Roman" w:cs="Times New Roman"/>
          <w:sz w:val="24"/>
          <w:szCs w:val="24"/>
          <w:lang w:val="es-CO"/>
        </w:rPr>
        <w:t xml:space="preserve">procedimientos ordinarios para dar respuesta inmediata a las necesidades </w:t>
      </w:r>
      <w:r w:rsidR="008D6CF0">
        <w:rPr>
          <w:rFonts w:ascii="Times New Roman" w:hAnsi="Times New Roman" w:cs="Times New Roman"/>
          <w:sz w:val="24"/>
          <w:szCs w:val="24"/>
          <w:lang w:val="es-CO"/>
        </w:rPr>
        <w:t>de la población</w:t>
      </w:r>
      <w:r w:rsidRPr="008A08BC">
        <w:rPr>
          <w:rFonts w:ascii="Times New Roman" w:hAnsi="Times New Roman" w:cs="Times New Roman"/>
          <w:sz w:val="24"/>
          <w:szCs w:val="24"/>
          <w:lang w:val="es-CO"/>
        </w:rPr>
        <w:t>.</w:t>
      </w:r>
    </w:p>
    <w:p w14:paraId="5956EAA0" w14:textId="528072E4" w:rsidR="00570D30" w:rsidRDefault="008A08BC" w:rsidP="008A08BC">
      <w:pPr>
        <w:spacing w:after="120" w:line="480" w:lineRule="auto"/>
        <w:ind w:firstLine="709"/>
        <w:jc w:val="both"/>
        <w:rPr>
          <w:rFonts w:ascii="Times New Roman" w:hAnsi="Times New Roman" w:cs="Times New Roman"/>
          <w:bCs/>
          <w:sz w:val="24"/>
          <w:szCs w:val="24"/>
          <w:lang w:val="es-ES"/>
        </w:rPr>
      </w:pPr>
      <w:r w:rsidRPr="008A08BC">
        <w:rPr>
          <w:rFonts w:ascii="Times New Roman" w:hAnsi="Times New Roman" w:cs="Times New Roman"/>
          <w:sz w:val="24"/>
          <w:szCs w:val="24"/>
          <w:lang w:val="es-CO"/>
        </w:rPr>
        <w:t xml:space="preserve">La aplicación de esta figura excepcional, aunque legalmente prevista, ha </w:t>
      </w:r>
      <w:r w:rsidR="00570D30">
        <w:rPr>
          <w:rFonts w:ascii="Times New Roman" w:hAnsi="Times New Roman" w:cs="Times New Roman"/>
          <w:sz w:val="24"/>
          <w:szCs w:val="24"/>
          <w:lang w:val="es-CO"/>
        </w:rPr>
        <w:t xml:space="preserve">generado discusiones </w:t>
      </w:r>
      <w:r w:rsidRPr="008A08BC">
        <w:rPr>
          <w:rFonts w:ascii="Times New Roman" w:hAnsi="Times New Roman" w:cs="Times New Roman"/>
          <w:sz w:val="24"/>
          <w:szCs w:val="24"/>
          <w:lang w:val="es-CO"/>
        </w:rPr>
        <w:t>sobre su</w:t>
      </w:r>
      <w:r w:rsidR="00570D30">
        <w:rPr>
          <w:rFonts w:ascii="Times New Roman" w:hAnsi="Times New Roman" w:cs="Times New Roman"/>
          <w:sz w:val="24"/>
          <w:szCs w:val="24"/>
          <w:lang w:val="es-CO"/>
        </w:rPr>
        <w:t xml:space="preserve"> i</w:t>
      </w:r>
      <w:r w:rsidRPr="008A08BC">
        <w:rPr>
          <w:rFonts w:ascii="Times New Roman" w:hAnsi="Times New Roman" w:cs="Times New Roman"/>
          <w:sz w:val="24"/>
          <w:szCs w:val="24"/>
          <w:lang w:val="es-CO"/>
        </w:rPr>
        <w:t xml:space="preserve">mpacto en </w:t>
      </w:r>
      <w:r w:rsidR="00570D30">
        <w:rPr>
          <w:rFonts w:ascii="Times New Roman" w:hAnsi="Times New Roman" w:cs="Times New Roman"/>
          <w:sz w:val="24"/>
          <w:szCs w:val="24"/>
          <w:lang w:val="es-CO"/>
        </w:rPr>
        <w:t xml:space="preserve">el principio de la </w:t>
      </w:r>
      <w:r w:rsidRPr="008A08BC">
        <w:rPr>
          <w:rFonts w:ascii="Times New Roman" w:hAnsi="Times New Roman" w:cs="Times New Roman"/>
          <w:sz w:val="24"/>
          <w:szCs w:val="24"/>
          <w:lang w:val="es-CO"/>
        </w:rPr>
        <w:t>selección objetiva, pues la</w:t>
      </w:r>
      <w:r w:rsidR="00570D30">
        <w:rPr>
          <w:rFonts w:ascii="Times New Roman" w:hAnsi="Times New Roman" w:cs="Times New Roman"/>
          <w:sz w:val="24"/>
          <w:szCs w:val="24"/>
          <w:lang w:val="es-CO"/>
        </w:rPr>
        <w:t xml:space="preserve"> limitación </w:t>
      </w:r>
      <w:r w:rsidRPr="008A08BC">
        <w:rPr>
          <w:rFonts w:ascii="Times New Roman" w:hAnsi="Times New Roman" w:cs="Times New Roman"/>
          <w:sz w:val="24"/>
          <w:szCs w:val="24"/>
          <w:lang w:val="es-CO"/>
        </w:rPr>
        <w:t xml:space="preserve">de la </w:t>
      </w:r>
      <w:r w:rsidR="00570D30">
        <w:rPr>
          <w:rFonts w:ascii="Times New Roman" w:hAnsi="Times New Roman" w:cs="Times New Roman"/>
          <w:sz w:val="24"/>
          <w:szCs w:val="24"/>
          <w:lang w:val="es-CO"/>
        </w:rPr>
        <w:t>concurrencia de oferentes</w:t>
      </w:r>
      <w:r w:rsidRPr="008A08BC">
        <w:rPr>
          <w:rFonts w:ascii="Times New Roman" w:hAnsi="Times New Roman" w:cs="Times New Roman"/>
          <w:sz w:val="24"/>
          <w:szCs w:val="24"/>
          <w:lang w:val="es-CO"/>
        </w:rPr>
        <w:t xml:space="preserve"> puede dar lugar a prácticas discrecionales y a riesgos de corrupción. Ante esta realidad, surge la </w:t>
      </w:r>
      <w:r w:rsidR="00570D30">
        <w:rPr>
          <w:rFonts w:ascii="Times New Roman" w:hAnsi="Times New Roman" w:cs="Times New Roman"/>
          <w:sz w:val="24"/>
          <w:szCs w:val="24"/>
          <w:lang w:val="es-CO"/>
        </w:rPr>
        <w:t xml:space="preserve">siguiente </w:t>
      </w:r>
      <w:r w:rsidRPr="008A08BC">
        <w:rPr>
          <w:rFonts w:ascii="Times New Roman" w:hAnsi="Times New Roman" w:cs="Times New Roman"/>
          <w:sz w:val="24"/>
          <w:szCs w:val="24"/>
          <w:lang w:val="es-CO"/>
        </w:rPr>
        <w:t xml:space="preserve">pregunta que orienta </w:t>
      </w:r>
      <w:r w:rsidR="008D6CF0">
        <w:rPr>
          <w:rFonts w:ascii="Times New Roman" w:hAnsi="Times New Roman" w:cs="Times New Roman"/>
          <w:sz w:val="24"/>
          <w:szCs w:val="24"/>
          <w:lang w:val="es-CO"/>
        </w:rPr>
        <w:t>el desarrollo del articulo:</w:t>
      </w:r>
      <w:r w:rsidR="00570D30" w:rsidRPr="008D6CF0">
        <w:rPr>
          <w:rFonts w:ascii="Times New Roman" w:eastAsia="Times New Roman" w:hAnsi="Times New Roman" w:cs="Times New Roman"/>
          <w:bCs/>
          <w:i/>
          <w:iCs/>
          <w:sz w:val="24"/>
          <w:szCs w:val="24"/>
          <w:lang w:val="es-ES" w:eastAsia="es-ES"/>
        </w:rPr>
        <w:t xml:space="preserve"> </w:t>
      </w:r>
      <w:r w:rsidR="00570D30" w:rsidRPr="008D6CF0">
        <w:rPr>
          <w:rFonts w:ascii="Times New Roman" w:hAnsi="Times New Roman" w:cs="Times New Roman"/>
          <w:bCs/>
          <w:i/>
          <w:iCs/>
          <w:sz w:val="24"/>
          <w:szCs w:val="24"/>
          <w:lang w:val="es-ES"/>
        </w:rPr>
        <w:t>¿Se afecta el principio de selección objetiva en los contratos estatales celebrados por contratación directa bajo la causal de urgencia manifiesta?</w:t>
      </w:r>
    </w:p>
    <w:p w14:paraId="179AB415" w14:textId="1198A9B3" w:rsidR="00085A57" w:rsidRPr="00570D30" w:rsidRDefault="00D31F9C" w:rsidP="00085A57">
      <w:pPr>
        <w:spacing w:after="120" w:line="480" w:lineRule="auto"/>
        <w:ind w:firstLine="709"/>
        <w:jc w:val="both"/>
        <w:rPr>
          <w:rFonts w:ascii="Times New Roman" w:hAnsi="Times New Roman" w:cs="Times New Roman"/>
          <w:sz w:val="24"/>
          <w:szCs w:val="24"/>
          <w:lang w:val="es-CO"/>
        </w:rPr>
      </w:pPr>
      <w:r>
        <w:rPr>
          <w:rFonts w:ascii="Times New Roman" w:hAnsi="Times New Roman" w:cs="Times New Roman"/>
          <w:sz w:val="24"/>
          <w:szCs w:val="24"/>
          <w:lang w:val="es-CO"/>
        </w:rPr>
        <w:t xml:space="preserve">En ese sentido, el </w:t>
      </w:r>
      <w:r w:rsidR="008A08BC" w:rsidRPr="008A08BC">
        <w:rPr>
          <w:rFonts w:ascii="Times New Roman" w:hAnsi="Times New Roman" w:cs="Times New Roman"/>
          <w:sz w:val="24"/>
          <w:szCs w:val="24"/>
          <w:lang w:val="es-CO"/>
        </w:rPr>
        <w:t xml:space="preserve">presente </w:t>
      </w:r>
      <w:r w:rsidR="00570D30">
        <w:rPr>
          <w:rFonts w:ascii="Times New Roman" w:hAnsi="Times New Roman" w:cs="Times New Roman"/>
          <w:sz w:val="24"/>
          <w:szCs w:val="24"/>
          <w:lang w:val="es-CO"/>
        </w:rPr>
        <w:t>articulo</w:t>
      </w:r>
      <w:r w:rsidR="008A08BC" w:rsidRPr="008A08BC">
        <w:rPr>
          <w:rFonts w:ascii="Times New Roman" w:hAnsi="Times New Roman" w:cs="Times New Roman"/>
          <w:sz w:val="24"/>
          <w:szCs w:val="24"/>
          <w:lang w:val="es-CO"/>
        </w:rPr>
        <w:t xml:space="preserve"> tiene como propósito analizar, desde un enfoque jurídico y descriptivo, el alcance normativo de la urgencia manifiesta y su relación con el principio de selección objetiva, examinando la legislación vigente, la doctrina especializada y la jurisprudencia del Consejo de Estado. Para ello, se desarrollará un análisis documental que permita identificar los </w:t>
      </w:r>
      <w:r w:rsidR="008A08BC" w:rsidRPr="008A08BC">
        <w:rPr>
          <w:rFonts w:ascii="Times New Roman" w:hAnsi="Times New Roman" w:cs="Times New Roman"/>
          <w:sz w:val="24"/>
          <w:szCs w:val="24"/>
          <w:lang w:val="es-CO"/>
        </w:rPr>
        <w:lastRenderedPageBreak/>
        <w:t>criterios, riesgos y vacíos normativos asociados a esta modalidad excepcional, con el fin de proponer elementos que fortalezcan la transparencia, la eficiencia y la confianza ciudadana en la contratación pública.</w:t>
      </w:r>
    </w:p>
    <w:p w14:paraId="60639666" w14:textId="0FC46C18" w:rsidR="00570D30" w:rsidRDefault="00E340CD" w:rsidP="00570D30">
      <w:pPr>
        <w:pStyle w:val="Prrafodelista"/>
        <w:numPr>
          <w:ilvl w:val="0"/>
          <w:numId w:val="34"/>
        </w:numPr>
        <w:spacing w:after="120" w:line="480" w:lineRule="auto"/>
        <w:jc w:val="center"/>
        <w:rPr>
          <w:rFonts w:ascii="Times New Roman" w:eastAsia="Arial" w:hAnsi="Times New Roman" w:cs="Times New Roman"/>
          <w:sz w:val="24"/>
          <w:szCs w:val="24"/>
        </w:rPr>
      </w:pPr>
      <w:r w:rsidRPr="004766E5">
        <w:rPr>
          <w:rFonts w:ascii="Times New Roman" w:eastAsia="Arial" w:hAnsi="Times New Roman" w:cs="Times New Roman"/>
          <w:b/>
          <w:bCs/>
          <w:sz w:val="24"/>
          <w:szCs w:val="24"/>
        </w:rPr>
        <w:t>Metodología</w:t>
      </w:r>
      <w:r w:rsidRPr="004766E5">
        <w:rPr>
          <w:rFonts w:ascii="Times New Roman" w:eastAsia="Arial" w:hAnsi="Times New Roman" w:cs="Times New Roman"/>
          <w:sz w:val="24"/>
          <w:szCs w:val="24"/>
        </w:rPr>
        <w:t>:</w:t>
      </w:r>
    </w:p>
    <w:p w14:paraId="5F170AB7" w14:textId="1CC9E508" w:rsidR="004766E5" w:rsidRPr="00F06B6E" w:rsidRDefault="000E7503" w:rsidP="00F06B6E">
      <w:pPr>
        <w:spacing w:after="120" w:line="480" w:lineRule="auto"/>
        <w:ind w:firstLine="360"/>
        <w:jc w:val="both"/>
        <w:rPr>
          <w:rFonts w:ascii="Times New Roman" w:eastAsia="Arial" w:hAnsi="Times New Roman" w:cs="Times New Roman"/>
          <w:sz w:val="24"/>
          <w:szCs w:val="24"/>
        </w:rPr>
      </w:pPr>
      <w:r w:rsidRPr="00570D30">
        <w:rPr>
          <w:rFonts w:ascii="Times New Roman" w:eastAsia="Arial" w:hAnsi="Times New Roman" w:cs="Times New Roman"/>
          <w:sz w:val="24"/>
          <w:szCs w:val="24"/>
        </w:rPr>
        <w:t xml:space="preserve">La presente investigación es de tipo jurídico con enfoque cualitativo-descriptivo, basada en la recolección de fuentes documentales tales como </w:t>
      </w:r>
      <w:r w:rsidR="00F06B6E">
        <w:rPr>
          <w:rFonts w:ascii="Times New Roman" w:eastAsia="Arial" w:hAnsi="Times New Roman" w:cs="Times New Roman"/>
          <w:sz w:val="24"/>
          <w:szCs w:val="24"/>
        </w:rPr>
        <w:t xml:space="preserve">la Constitución, la Ley, </w:t>
      </w:r>
      <w:r w:rsidRPr="00570D30">
        <w:rPr>
          <w:rFonts w:ascii="Times New Roman" w:eastAsia="Arial" w:hAnsi="Times New Roman" w:cs="Times New Roman"/>
          <w:sz w:val="24"/>
          <w:szCs w:val="24"/>
        </w:rPr>
        <w:t xml:space="preserve">jurisprudencia del Consejo de Estado, doctrina especializada, </w:t>
      </w:r>
      <w:r w:rsidR="00F06B6E">
        <w:rPr>
          <w:rFonts w:ascii="Times New Roman" w:eastAsia="Arial" w:hAnsi="Times New Roman" w:cs="Times New Roman"/>
          <w:sz w:val="24"/>
          <w:szCs w:val="24"/>
        </w:rPr>
        <w:t>bases de datos académicas tanto virtuales como físicas</w:t>
      </w:r>
      <w:r w:rsidRPr="00570D30">
        <w:rPr>
          <w:rFonts w:ascii="Times New Roman" w:eastAsia="Arial" w:hAnsi="Times New Roman" w:cs="Times New Roman"/>
          <w:sz w:val="24"/>
          <w:szCs w:val="24"/>
        </w:rPr>
        <w:t xml:space="preserve">, así como informes oficiales y artículos académicos relacionados con la contratación estatal. Se emplea el método de </w:t>
      </w:r>
      <w:r w:rsidR="00F06B6E">
        <w:rPr>
          <w:rFonts w:ascii="Times New Roman" w:eastAsia="Arial" w:hAnsi="Times New Roman" w:cs="Times New Roman"/>
          <w:sz w:val="24"/>
          <w:szCs w:val="24"/>
        </w:rPr>
        <w:t>analítico</w:t>
      </w:r>
      <w:r w:rsidRPr="00570D30">
        <w:rPr>
          <w:rFonts w:ascii="Times New Roman" w:eastAsia="Arial" w:hAnsi="Times New Roman" w:cs="Times New Roman"/>
          <w:sz w:val="24"/>
          <w:szCs w:val="24"/>
        </w:rPr>
        <w:t xml:space="preserve"> para examinar e interpretar el marco normativo y los pronunciamientos jurisprudenciales emitidos entre los años 2020 y 2025, con el fin de identificar el alcance, las implicaciones y los posibles riesgos que la figura de la urgencia </w:t>
      </w:r>
      <w:r w:rsidR="00F06B6E" w:rsidRPr="00570D30">
        <w:rPr>
          <w:rFonts w:ascii="Times New Roman" w:eastAsia="Arial" w:hAnsi="Times New Roman" w:cs="Times New Roman"/>
          <w:sz w:val="24"/>
          <w:szCs w:val="24"/>
        </w:rPr>
        <w:t>manifiesta frente</w:t>
      </w:r>
      <w:r w:rsidRPr="00570D30">
        <w:rPr>
          <w:rFonts w:ascii="Times New Roman" w:eastAsia="Arial" w:hAnsi="Times New Roman" w:cs="Times New Roman"/>
          <w:sz w:val="24"/>
          <w:szCs w:val="24"/>
        </w:rPr>
        <w:t xml:space="preserve"> al principio de selección objetiva.</w:t>
      </w:r>
    </w:p>
    <w:p w14:paraId="5F0A70CB" w14:textId="6F906726" w:rsidR="004766E5" w:rsidRDefault="004766E5" w:rsidP="00F06B6E">
      <w:pPr>
        <w:pStyle w:val="Prrafodelista"/>
        <w:numPr>
          <w:ilvl w:val="0"/>
          <w:numId w:val="34"/>
        </w:numPr>
        <w:spacing w:after="120" w:line="480" w:lineRule="auto"/>
        <w:jc w:val="center"/>
        <w:rPr>
          <w:rFonts w:ascii="Times New Roman" w:hAnsi="Times New Roman" w:cs="Times New Roman"/>
          <w:b/>
          <w:bCs/>
          <w:sz w:val="24"/>
          <w:szCs w:val="24"/>
        </w:rPr>
      </w:pPr>
      <w:r>
        <w:rPr>
          <w:rFonts w:ascii="Times New Roman" w:hAnsi="Times New Roman" w:cs="Times New Roman"/>
          <w:b/>
          <w:bCs/>
          <w:sz w:val="24"/>
          <w:szCs w:val="24"/>
        </w:rPr>
        <w:t>Resultados</w:t>
      </w:r>
    </w:p>
    <w:p w14:paraId="145A3C27" w14:textId="77777777" w:rsidR="00085A57" w:rsidRPr="00F06B6E" w:rsidRDefault="00085A57" w:rsidP="00085A57">
      <w:pPr>
        <w:pStyle w:val="Prrafodelista"/>
        <w:spacing w:after="120" w:line="480" w:lineRule="auto"/>
        <w:rPr>
          <w:rFonts w:ascii="Times New Roman" w:hAnsi="Times New Roman" w:cs="Times New Roman"/>
          <w:b/>
          <w:bCs/>
          <w:sz w:val="24"/>
          <w:szCs w:val="24"/>
        </w:rPr>
      </w:pPr>
    </w:p>
    <w:p w14:paraId="0E97E764" w14:textId="685EFF2B" w:rsidR="00085A57" w:rsidRPr="00DA12AE" w:rsidRDefault="00D96D29" w:rsidP="0085485F">
      <w:pPr>
        <w:pStyle w:val="Prrafodelista"/>
        <w:numPr>
          <w:ilvl w:val="1"/>
          <w:numId w:val="34"/>
        </w:numPr>
        <w:spacing w:after="120" w:line="480" w:lineRule="auto"/>
        <w:jc w:val="both"/>
        <w:rPr>
          <w:rFonts w:ascii="Times New Roman" w:hAnsi="Times New Roman" w:cs="Times New Roman"/>
          <w:b/>
          <w:sz w:val="24"/>
          <w:szCs w:val="24"/>
          <w:lang w:val="es-ES"/>
        </w:rPr>
      </w:pPr>
      <w:r w:rsidRPr="00085A57">
        <w:rPr>
          <w:rFonts w:ascii="Times New Roman" w:hAnsi="Times New Roman" w:cs="Times New Roman"/>
          <w:b/>
          <w:sz w:val="24"/>
          <w:szCs w:val="24"/>
          <w:lang w:val="es-ES"/>
        </w:rPr>
        <w:t>C</w:t>
      </w:r>
      <w:r w:rsidR="00F06B6E" w:rsidRPr="00085A57">
        <w:rPr>
          <w:rFonts w:ascii="Times New Roman" w:hAnsi="Times New Roman" w:cs="Times New Roman"/>
          <w:b/>
          <w:sz w:val="24"/>
          <w:szCs w:val="24"/>
          <w:lang w:val="es-ES"/>
        </w:rPr>
        <w:t>aracterísticas bajo las cuales se justifica la suscripción de contratos estatales en situaciones de urgencia manifiesta, y cómo esto impacta en el principio de la selección objetiva.</w:t>
      </w:r>
    </w:p>
    <w:p w14:paraId="0C5753D8" w14:textId="40B83956" w:rsidR="003641A7" w:rsidRDefault="000E6109" w:rsidP="003641A7">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b/>
          <w:bCs/>
          <w:sz w:val="24"/>
          <w:szCs w:val="24"/>
          <w:lang w:val="es-ES"/>
        </w:rPr>
        <w:tab/>
      </w:r>
      <w:r w:rsidR="003641A7" w:rsidRPr="003641A7">
        <w:rPr>
          <w:rFonts w:ascii="Times New Roman" w:hAnsi="Times New Roman" w:cs="Times New Roman"/>
          <w:sz w:val="24"/>
          <w:szCs w:val="24"/>
          <w:lang w:val="es-ES"/>
        </w:rPr>
        <w:t xml:space="preserve">Para dar inicio </w:t>
      </w:r>
      <w:r w:rsidR="008B3D20">
        <w:rPr>
          <w:rFonts w:ascii="Times New Roman" w:hAnsi="Times New Roman" w:cs="Times New Roman"/>
          <w:sz w:val="24"/>
          <w:szCs w:val="24"/>
          <w:lang w:val="es-ES"/>
        </w:rPr>
        <w:t>al</w:t>
      </w:r>
      <w:r w:rsidR="003641A7" w:rsidRPr="003641A7">
        <w:rPr>
          <w:rFonts w:ascii="Times New Roman" w:hAnsi="Times New Roman" w:cs="Times New Roman"/>
          <w:sz w:val="24"/>
          <w:szCs w:val="24"/>
          <w:lang w:val="es-ES"/>
        </w:rPr>
        <w:t xml:space="preserve"> presente acápite</w:t>
      </w:r>
      <w:r w:rsidR="003641A7">
        <w:rPr>
          <w:rFonts w:ascii="Times New Roman" w:hAnsi="Times New Roman" w:cs="Times New Roman"/>
          <w:sz w:val="24"/>
          <w:szCs w:val="24"/>
          <w:lang w:val="es-CO"/>
        </w:rPr>
        <w:t>, es preciso señalar que l</w:t>
      </w:r>
      <w:r w:rsidR="003641A7" w:rsidRPr="003641A7">
        <w:rPr>
          <w:rFonts w:ascii="Times New Roman" w:hAnsi="Times New Roman" w:cs="Times New Roman"/>
          <w:sz w:val="24"/>
          <w:szCs w:val="24"/>
          <w:lang w:val="es-CO"/>
        </w:rPr>
        <w:t xml:space="preserve">a urgencia manifiesta es una causal de contratación directa prevista en el ordenamiento jurídico colombiano, utilizada por las entidades estatales para contratar de forma inmediata cuando se presentan hechos imprevistos que </w:t>
      </w:r>
      <w:r w:rsidR="003641A7" w:rsidRPr="003641A7">
        <w:rPr>
          <w:rFonts w:ascii="Times New Roman" w:hAnsi="Times New Roman" w:cs="Times New Roman"/>
          <w:sz w:val="24"/>
          <w:szCs w:val="24"/>
          <w:lang w:val="es-CO"/>
        </w:rPr>
        <w:lastRenderedPageBreak/>
        <w:t>requieren atención urgente. De acuerdo con Ospina (2021), esta figura no exime a las entidades de cumplir con los principios rectores de la contratación, especialmente el de selección objetiva.</w:t>
      </w:r>
    </w:p>
    <w:p w14:paraId="45FFF44F" w14:textId="40015E93" w:rsidR="003641A7" w:rsidRDefault="003641A7" w:rsidP="003641A7">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lang w:val="es-CO"/>
        </w:rPr>
        <w:tab/>
      </w:r>
      <w:r w:rsidR="00755C68">
        <w:rPr>
          <w:rFonts w:ascii="Times New Roman" w:hAnsi="Times New Roman" w:cs="Times New Roman"/>
          <w:sz w:val="24"/>
          <w:szCs w:val="24"/>
          <w:lang w:val="es-CO"/>
        </w:rPr>
        <w:t xml:space="preserve">En ese sentido, </w:t>
      </w:r>
      <w:r w:rsidR="00755C68">
        <w:rPr>
          <w:rFonts w:ascii="Times New Roman" w:hAnsi="Times New Roman" w:cs="Times New Roman"/>
          <w:sz w:val="24"/>
          <w:szCs w:val="24"/>
        </w:rPr>
        <w:t>l</w:t>
      </w:r>
      <w:r w:rsidR="00755C68" w:rsidRPr="00755C68">
        <w:rPr>
          <w:rFonts w:ascii="Times New Roman" w:hAnsi="Times New Roman" w:cs="Times New Roman"/>
          <w:sz w:val="24"/>
          <w:szCs w:val="24"/>
        </w:rPr>
        <w:t xml:space="preserve">a figura de la urgencia manifiesta, prevista en la Ley 80 de 1993, permite a las entidades estatales contratar de manera directa cuando se presentan situaciones excepcionales que requieren una respuesta inmediata. No obstante, su aplicación debe estar debidamente justificada y sujeta a estrictos criterios legales para evitar abusos o desviaciones de los principios de transparencia y selección objetiva. </w:t>
      </w:r>
      <w:r w:rsidR="00D30D37">
        <w:rPr>
          <w:rFonts w:ascii="Times New Roman" w:hAnsi="Times New Roman" w:cs="Times New Roman"/>
          <w:sz w:val="24"/>
          <w:szCs w:val="24"/>
        </w:rPr>
        <w:t>A continuación, se realiza un</w:t>
      </w:r>
      <w:r w:rsidR="00755C68" w:rsidRPr="00755C68">
        <w:rPr>
          <w:rFonts w:ascii="Times New Roman" w:hAnsi="Times New Roman" w:cs="Times New Roman"/>
          <w:sz w:val="24"/>
          <w:szCs w:val="24"/>
        </w:rPr>
        <w:t xml:space="preserve"> cuadro </w:t>
      </w:r>
      <w:r w:rsidR="00D30D37">
        <w:rPr>
          <w:rFonts w:ascii="Times New Roman" w:hAnsi="Times New Roman" w:cs="Times New Roman"/>
          <w:sz w:val="24"/>
          <w:szCs w:val="24"/>
        </w:rPr>
        <w:t>con</w:t>
      </w:r>
      <w:r w:rsidR="00755C68" w:rsidRPr="00755C68">
        <w:rPr>
          <w:rFonts w:ascii="Times New Roman" w:hAnsi="Times New Roman" w:cs="Times New Roman"/>
          <w:sz w:val="24"/>
          <w:szCs w:val="24"/>
        </w:rPr>
        <w:t xml:space="preserve"> las principales características que respaldan la suscripción de contratos estatales bajo esta modalidad, así como las normas y referencias jurisprudenciales que fundamentan cada una de ellas.</w:t>
      </w:r>
    </w:p>
    <w:p w14:paraId="0A0DE249" w14:textId="1CBD93BB" w:rsidR="00D30D37" w:rsidRPr="00D30D37" w:rsidRDefault="00D30D37" w:rsidP="00D30D37">
      <w:pPr>
        <w:pStyle w:val="Descripcin"/>
        <w:rPr>
          <w:rFonts w:ascii="Times New Roman" w:hAnsi="Times New Roman" w:cs="Times New Roman"/>
          <w:b w:val="0"/>
          <w:bCs/>
          <w:sz w:val="24"/>
          <w:szCs w:val="24"/>
        </w:rPr>
      </w:pPr>
      <w:r w:rsidRPr="00D30D37">
        <w:rPr>
          <w:rFonts w:ascii="Times New Roman" w:hAnsi="Times New Roman" w:cs="Times New Roman"/>
          <w:b w:val="0"/>
          <w:bCs/>
        </w:rPr>
        <w:t xml:space="preserve">Tabla </w:t>
      </w:r>
      <w:r w:rsidRPr="00D30D37">
        <w:rPr>
          <w:rFonts w:ascii="Times New Roman" w:hAnsi="Times New Roman" w:cs="Times New Roman"/>
          <w:b w:val="0"/>
          <w:bCs/>
        </w:rPr>
        <w:fldChar w:fldCharType="begin"/>
      </w:r>
      <w:r w:rsidRPr="00D30D37">
        <w:rPr>
          <w:rFonts w:ascii="Times New Roman" w:hAnsi="Times New Roman" w:cs="Times New Roman"/>
          <w:b w:val="0"/>
          <w:bCs/>
        </w:rPr>
        <w:instrText xml:space="preserve"> SEQ Tabla \* ARABIC </w:instrText>
      </w:r>
      <w:r w:rsidRPr="00D30D37">
        <w:rPr>
          <w:rFonts w:ascii="Times New Roman" w:hAnsi="Times New Roman" w:cs="Times New Roman"/>
          <w:b w:val="0"/>
          <w:bCs/>
        </w:rPr>
        <w:fldChar w:fldCharType="separate"/>
      </w:r>
      <w:r w:rsidR="00DE15DD">
        <w:rPr>
          <w:rFonts w:ascii="Times New Roman" w:hAnsi="Times New Roman" w:cs="Times New Roman"/>
          <w:b w:val="0"/>
          <w:bCs/>
          <w:noProof/>
        </w:rPr>
        <w:t>1</w:t>
      </w:r>
      <w:r w:rsidRPr="00D30D37">
        <w:rPr>
          <w:rFonts w:ascii="Times New Roman" w:hAnsi="Times New Roman" w:cs="Times New Roman"/>
          <w:b w:val="0"/>
          <w:bCs/>
        </w:rPr>
        <w:fldChar w:fldCharType="end"/>
      </w:r>
      <w:r w:rsidRPr="00D30D37">
        <w:rPr>
          <w:rFonts w:ascii="Times New Roman" w:hAnsi="Times New Roman" w:cs="Times New Roman"/>
          <w:b w:val="0"/>
          <w:bCs/>
        </w:rPr>
        <w:t xml:space="preserve"> Características de la urgencia manifiesta</w:t>
      </w:r>
    </w:p>
    <w:tbl>
      <w:tblPr>
        <w:tblStyle w:val="Cuadrculaclara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2"/>
        <w:gridCol w:w="3132"/>
        <w:gridCol w:w="3130"/>
      </w:tblGrid>
      <w:tr w:rsidR="00D30D37" w:rsidRPr="00EF36A7" w14:paraId="06611AFE" w14:textId="77777777" w:rsidTr="00EF36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tcPr>
          <w:p w14:paraId="02E0B1E2"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Característica</w:t>
            </w:r>
          </w:p>
        </w:tc>
        <w:tc>
          <w:tcPr>
            <w:tcW w:w="1667" w:type="pct"/>
            <w:tcBorders>
              <w:top w:val="none" w:sz="0" w:space="0" w:color="auto"/>
              <w:left w:val="none" w:sz="0" w:space="0" w:color="auto"/>
              <w:bottom w:val="none" w:sz="0" w:space="0" w:color="auto"/>
              <w:right w:val="none" w:sz="0" w:space="0" w:color="auto"/>
            </w:tcBorders>
          </w:tcPr>
          <w:p w14:paraId="0114D19E" w14:textId="77777777" w:rsidR="00D30D37" w:rsidRPr="00EF36A7" w:rsidRDefault="00D30D37" w:rsidP="007F5E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es-CO"/>
              </w:rPr>
            </w:pPr>
            <w:r w:rsidRPr="00EF36A7">
              <w:rPr>
                <w:rFonts w:ascii="Times New Roman" w:hAnsi="Times New Roman"/>
                <w:sz w:val="24"/>
                <w:szCs w:val="24"/>
                <w:lang w:val="es-CO"/>
              </w:rPr>
              <w:t>Descripción</w:t>
            </w:r>
          </w:p>
        </w:tc>
        <w:tc>
          <w:tcPr>
            <w:tcW w:w="1667" w:type="pct"/>
            <w:tcBorders>
              <w:top w:val="none" w:sz="0" w:space="0" w:color="auto"/>
              <w:left w:val="none" w:sz="0" w:space="0" w:color="auto"/>
              <w:bottom w:val="none" w:sz="0" w:space="0" w:color="auto"/>
              <w:right w:val="none" w:sz="0" w:space="0" w:color="auto"/>
            </w:tcBorders>
          </w:tcPr>
          <w:p w14:paraId="16BA5BD1" w14:textId="77777777" w:rsidR="00D30D37" w:rsidRPr="00EF36A7" w:rsidRDefault="00D30D37" w:rsidP="007F5ED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es-CO"/>
              </w:rPr>
            </w:pPr>
            <w:r w:rsidRPr="00EF36A7">
              <w:rPr>
                <w:rFonts w:ascii="Times New Roman" w:hAnsi="Times New Roman"/>
                <w:sz w:val="24"/>
                <w:szCs w:val="24"/>
                <w:lang w:val="es-CO"/>
              </w:rPr>
              <w:t>Fundamento normativo / referencia</w:t>
            </w:r>
          </w:p>
        </w:tc>
      </w:tr>
      <w:tr w:rsidR="00D30D37" w:rsidRPr="00EF36A7" w14:paraId="11FEC8A8" w14:textId="77777777" w:rsidTr="00EF3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shd w:val="clear" w:color="auto" w:fill="auto"/>
          </w:tcPr>
          <w:p w14:paraId="56554038"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Situación excepcional e imprevisible</w:t>
            </w:r>
          </w:p>
        </w:tc>
        <w:tc>
          <w:tcPr>
            <w:tcW w:w="1667" w:type="pct"/>
            <w:tcBorders>
              <w:top w:val="none" w:sz="0" w:space="0" w:color="auto"/>
              <w:left w:val="none" w:sz="0" w:space="0" w:color="auto"/>
              <w:bottom w:val="none" w:sz="0" w:space="0" w:color="auto"/>
              <w:right w:val="none" w:sz="0" w:space="0" w:color="auto"/>
            </w:tcBorders>
            <w:shd w:val="clear" w:color="auto" w:fill="auto"/>
          </w:tcPr>
          <w:p w14:paraId="1F8D8E5A"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Debe existir un hecho fortuito, calamidad, desastre natural, emergencia sanitaria, alteración del orden público u otra circunstancia extraordinaria que no pueda preverse ni evitarse.</w:t>
            </w:r>
          </w:p>
        </w:tc>
        <w:tc>
          <w:tcPr>
            <w:tcW w:w="1667" w:type="pct"/>
            <w:tcBorders>
              <w:top w:val="none" w:sz="0" w:space="0" w:color="auto"/>
              <w:left w:val="none" w:sz="0" w:space="0" w:color="auto"/>
              <w:bottom w:val="none" w:sz="0" w:space="0" w:color="auto"/>
              <w:right w:val="none" w:sz="0" w:space="0" w:color="auto"/>
            </w:tcBorders>
            <w:shd w:val="clear" w:color="auto" w:fill="auto"/>
          </w:tcPr>
          <w:p w14:paraId="149ACEDE"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Ley 80 de 1993, art. 42; Consejo de Estado, jurisprudencia.</w:t>
            </w:r>
          </w:p>
        </w:tc>
      </w:tr>
      <w:tr w:rsidR="00D30D37" w:rsidRPr="00EF36A7" w14:paraId="466C0CE3" w14:textId="77777777" w:rsidTr="00EF36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tcPr>
          <w:p w14:paraId="76649CBC"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Necesidad de atención inmediata</w:t>
            </w:r>
          </w:p>
        </w:tc>
        <w:tc>
          <w:tcPr>
            <w:tcW w:w="1667" w:type="pct"/>
            <w:tcBorders>
              <w:top w:val="none" w:sz="0" w:space="0" w:color="auto"/>
              <w:left w:val="none" w:sz="0" w:space="0" w:color="auto"/>
              <w:bottom w:val="none" w:sz="0" w:space="0" w:color="auto"/>
              <w:right w:val="none" w:sz="0" w:space="0" w:color="auto"/>
            </w:tcBorders>
          </w:tcPr>
          <w:p w14:paraId="0CDDD1FC" w14:textId="77777777" w:rsidR="00D30D37" w:rsidRPr="00EF36A7" w:rsidRDefault="00D30D37" w:rsidP="007F5E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La demora en adelantar un proceso ordinario pondría en riesgo la vida, la salud, la seguridad, la economía o el interés público, requiriendo una respuesta urgente.</w:t>
            </w:r>
          </w:p>
        </w:tc>
        <w:tc>
          <w:tcPr>
            <w:tcW w:w="1667" w:type="pct"/>
            <w:tcBorders>
              <w:top w:val="none" w:sz="0" w:space="0" w:color="auto"/>
              <w:left w:val="none" w:sz="0" w:space="0" w:color="auto"/>
              <w:bottom w:val="none" w:sz="0" w:space="0" w:color="auto"/>
              <w:right w:val="none" w:sz="0" w:space="0" w:color="auto"/>
            </w:tcBorders>
          </w:tcPr>
          <w:p w14:paraId="34CD636D" w14:textId="77777777" w:rsidR="00D30D37" w:rsidRPr="00EF36A7" w:rsidRDefault="00D30D37" w:rsidP="007F5E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Ley 80 de 1993, art. 42.</w:t>
            </w:r>
          </w:p>
        </w:tc>
      </w:tr>
      <w:tr w:rsidR="00D30D37" w:rsidRPr="00EF36A7" w14:paraId="53D7DF62" w14:textId="77777777" w:rsidTr="00EF3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shd w:val="clear" w:color="auto" w:fill="auto"/>
          </w:tcPr>
          <w:p w14:paraId="3A373476"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lastRenderedPageBreak/>
              <w:t>Declaratoria formal</w:t>
            </w:r>
          </w:p>
        </w:tc>
        <w:tc>
          <w:tcPr>
            <w:tcW w:w="1667" w:type="pct"/>
            <w:tcBorders>
              <w:top w:val="none" w:sz="0" w:space="0" w:color="auto"/>
              <w:left w:val="none" w:sz="0" w:space="0" w:color="auto"/>
              <w:bottom w:val="none" w:sz="0" w:space="0" w:color="auto"/>
              <w:right w:val="none" w:sz="0" w:space="0" w:color="auto"/>
            </w:tcBorders>
            <w:shd w:val="clear" w:color="auto" w:fill="auto"/>
          </w:tcPr>
          <w:p w14:paraId="72E45E18"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La entidad debe expedir un acto administrativo motivado (resolución o decreto) que declare la urgencia manifiesta, justificando las causas y notificando a los órganos de control.</w:t>
            </w:r>
          </w:p>
        </w:tc>
        <w:tc>
          <w:tcPr>
            <w:tcW w:w="1667" w:type="pct"/>
            <w:tcBorders>
              <w:top w:val="none" w:sz="0" w:space="0" w:color="auto"/>
              <w:left w:val="none" w:sz="0" w:space="0" w:color="auto"/>
              <w:bottom w:val="none" w:sz="0" w:space="0" w:color="auto"/>
              <w:right w:val="none" w:sz="0" w:space="0" w:color="auto"/>
            </w:tcBorders>
            <w:shd w:val="clear" w:color="auto" w:fill="auto"/>
          </w:tcPr>
          <w:p w14:paraId="3DFAA6A5"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Ley 80 de 1993, art. 43; Decreto 1082 de 2015.</w:t>
            </w:r>
          </w:p>
        </w:tc>
      </w:tr>
      <w:tr w:rsidR="00D30D37" w:rsidRPr="00EF36A7" w14:paraId="78502F2B" w14:textId="77777777" w:rsidTr="00EF36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tcPr>
          <w:p w14:paraId="1BA18B78"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Temporalidad y excepcionalidad</w:t>
            </w:r>
          </w:p>
        </w:tc>
        <w:tc>
          <w:tcPr>
            <w:tcW w:w="1667" w:type="pct"/>
            <w:tcBorders>
              <w:top w:val="none" w:sz="0" w:space="0" w:color="auto"/>
              <w:left w:val="none" w:sz="0" w:space="0" w:color="auto"/>
              <w:bottom w:val="none" w:sz="0" w:space="0" w:color="auto"/>
              <w:right w:val="none" w:sz="0" w:space="0" w:color="auto"/>
            </w:tcBorders>
          </w:tcPr>
          <w:p w14:paraId="1F703E68" w14:textId="77777777" w:rsidR="00D30D37" w:rsidRPr="00EF36A7" w:rsidRDefault="00D30D37" w:rsidP="007F5E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La medida solo puede mantenerse durante el tiempo estrictamente necesario para superar la situación que la originó; una vez superada, deben retomarse los procedimientos ordinarios.</w:t>
            </w:r>
          </w:p>
        </w:tc>
        <w:tc>
          <w:tcPr>
            <w:tcW w:w="1667" w:type="pct"/>
            <w:tcBorders>
              <w:top w:val="none" w:sz="0" w:space="0" w:color="auto"/>
              <w:left w:val="none" w:sz="0" w:space="0" w:color="auto"/>
              <w:bottom w:val="none" w:sz="0" w:space="0" w:color="auto"/>
              <w:right w:val="none" w:sz="0" w:space="0" w:color="auto"/>
            </w:tcBorders>
          </w:tcPr>
          <w:p w14:paraId="3016DE05" w14:textId="77777777" w:rsidR="00D30D37" w:rsidRPr="00EF36A7" w:rsidRDefault="00D30D37" w:rsidP="007F5E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Ley 80 de 1993, art. 42; jurisprudencia Consejo de Estado.</w:t>
            </w:r>
          </w:p>
        </w:tc>
      </w:tr>
      <w:tr w:rsidR="00D30D37" w:rsidRPr="00EF36A7" w14:paraId="56C89D75" w14:textId="77777777" w:rsidTr="00EF3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shd w:val="clear" w:color="auto" w:fill="auto"/>
          </w:tcPr>
          <w:p w14:paraId="372E7E28"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Respeto a los principios de contratación</w:t>
            </w:r>
          </w:p>
        </w:tc>
        <w:tc>
          <w:tcPr>
            <w:tcW w:w="1667" w:type="pct"/>
            <w:tcBorders>
              <w:top w:val="none" w:sz="0" w:space="0" w:color="auto"/>
              <w:left w:val="none" w:sz="0" w:space="0" w:color="auto"/>
              <w:bottom w:val="none" w:sz="0" w:space="0" w:color="auto"/>
              <w:right w:val="none" w:sz="0" w:space="0" w:color="auto"/>
            </w:tcBorders>
            <w:shd w:val="clear" w:color="auto" w:fill="auto"/>
          </w:tcPr>
          <w:p w14:paraId="0DAA8FFD"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Deben cumplirse los principios de transparencia, economía, responsabilidad y selección objetiva, justificando la idoneidad del contratista escogido.</w:t>
            </w:r>
          </w:p>
        </w:tc>
        <w:tc>
          <w:tcPr>
            <w:tcW w:w="1667" w:type="pct"/>
            <w:tcBorders>
              <w:top w:val="none" w:sz="0" w:space="0" w:color="auto"/>
              <w:left w:val="none" w:sz="0" w:space="0" w:color="auto"/>
              <w:bottom w:val="none" w:sz="0" w:space="0" w:color="auto"/>
              <w:right w:val="none" w:sz="0" w:space="0" w:color="auto"/>
            </w:tcBorders>
            <w:shd w:val="clear" w:color="auto" w:fill="auto"/>
          </w:tcPr>
          <w:p w14:paraId="63628D03"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Ley 80 de 1993, arts. 23 y 29.</w:t>
            </w:r>
          </w:p>
        </w:tc>
      </w:tr>
      <w:tr w:rsidR="00D30D37" w:rsidRPr="00EF36A7" w14:paraId="4DF491DE" w14:textId="77777777" w:rsidTr="00EF36A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tcPr>
          <w:p w14:paraId="694D6486"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Control fiscal y verificación posterior</w:t>
            </w:r>
          </w:p>
        </w:tc>
        <w:tc>
          <w:tcPr>
            <w:tcW w:w="1667" w:type="pct"/>
            <w:tcBorders>
              <w:top w:val="none" w:sz="0" w:space="0" w:color="auto"/>
              <w:left w:val="none" w:sz="0" w:space="0" w:color="auto"/>
              <w:bottom w:val="none" w:sz="0" w:space="0" w:color="auto"/>
              <w:right w:val="none" w:sz="0" w:space="0" w:color="auto"/>
            </w:tcBorders>
          </w:tcPr>
          <w:p w14:paraId="59164C68" w14:textId="77777777" w:rsidR="00D30D37" w:rsidRPr="00EF36A7" w:rsidRDefault="00D30D37" w:rsidP="007F5E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Las actuaciones realizadas bajo urgencia manifiesta están sujetas a control fiscal, disciplinario y judicial por parte de entes de control.</w:t>
            </w:r>
          </w:p>
        </w:tc>
        <w:tc>
          <w:tcPr>
            <w:tcW w:w="1667" w:type="pct"/>
            <w:tcBorders>
              <w:top w:val="none" w:sz="0" w:space="0" w:color="auto"/>
              <w:left w:val="none" w:sz="0" w:space="0" w:color="auto"/>
              <w:bottom w:val="none" w:sz="0" w:space="0" w:color="auto"/>
              <w:right w:val="none" w:sz="0" w:space="0" w:color="auto"/>
            </w:tcBorders>
          </w:tcPr>
          <w:p w14:paraId="477E28EB" w14:textId="77777777" w:rsidR="00D30D37" w:rsidRPr="00EF36A7" w:rsidRDefault="00D30D37" w:rsidP="007F5EDC">
            <w:pPr>
              <w:spacing w:line="360" w:lineRule="auto"/>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Contraloría General de la República; jurisprudencia Consejo de Estado.</w:t>
            </w:r>
          </w:p>
        </w:tc>
      </w:tr>
      <w:tr w:rsidR="00D30D37" w:rsidRPr="00EF36A7" w14:paraId="76D7AB9F" w14:textId="77777777" w:rsidTr="00EF36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left w:val="none" w:sz="0" w:space="0" w:color="auto"/>
              <w:bottom w:val="none" w:sz="0" w:space="0" w:color="auto"/>
              <w:right w:val="none" w:sz="0" w:space="0" w:color="auto"/>
            </w:tcBorders>
            <w:shd w:val="clear" w:color="auto" w:fill="auto"/>
          </w:tcPr>
          <w:p w14:paraId="3A8CCAF7" w14:textId="77777777" w:rsidR="00D30D37" w:rsidRPr="00EF36A7" w:rsidRDefault="00D30D37" w:rsidP="007F5EDC">
            <w:pPr>
              <w:spacing w:line="360" w:lineRule="auto"/>
              <w:jc w:val="center"/>
              <w:rPr>
                <w:rFonts w:ascii="Times New Roman" w:hAnsi="Times New Roman"/>
                <w:sz w:val="24"/>
                <w:szCs w:val="24"/>
                <w:lang w:val="es-CO"/>
              </w:rPr>
            </w:pPr>
            <w:r w:rsidRPr="00EF36A7">
              <w:rPr>
                <w:rFonts w:ascii="Times New Roman" w:hAnsi="Times New Roman"/>
                <w:sz w:val="24"/>
                <w:szCs w:val="24"/>
                <w:lang w:val="es-CO"/>
              </w:rPr>
              <w:t>Documentación y trazabilidad</w:t>
            </w:r>
          </w:p>
        </w:tc>
        <w:tc>
          <w:tcPr>
            <w:tcW w:w="1667" w:type="pct"/>
            <w:tcBorders>
              <w:top w:val="none" w:sz="0" w:space="0" w:color="auto"/>
              <w:left w:val="none" w:sz="0" w:space="0" w:color="auto"/>
              <w:bottom w:val="none" w:sz="0" w:space="0" w:color="auto"/>
              <w:right w:val="none" w:sz="0" w:space="0" w:color="auto"/>
            </w:tcBorders>
            <w:shd w:val="clear" w:color="auto" w:fill="auto"/>
          </w:tcPr>
          <w:p w14:paraId="46532CFD"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t xml:space="preserve">Es obligatorio conservar estudios, cotizaciones, actas y demás soportes que demuestren la necesidad y las </w:t>
            </w:r>
            <w:r w:rsidRPr="00EF36A7">
              <w:rPr>
                <w:rFonts w:ascii="Times New Roman" w:hAnsi="Times New Roman" w:cs="Times New Roman"/>
                <w:sz w:val="24"/>
                <w:szCs w:val="24"/>
                <w:lang w:val="es-CO"/>
              </w:rPr>
              <w:lastRenderedPageBreak/>
              <w:t>decisiones adoptadas, para permitir la rendición de cuentas.</w:t>
            </w:r>
          </w:p>
        </w:tc>
        <w:tc>
          <w:tcPr>
            <w:tcW w:w="1667" w:type="pct"/>
            <w:tcBorders>
              <w:top w:val="none" w:sz="0" w:space="0" w:color="auto"/>
              <w:left w:val="none" w:sz="0" w:space="0" w:color="auto"/>
              <w:bottom w:val="none" w:sz="0" w:space="0" w:color="auto"/>
              <w:right w:val="none" w:sz="0" w:space="0" w:color="auto"/>
            </w:tcBorders>
            <w:shd w:val="clear" w:color="auto" w:fill="auto"/>
          </w:tcPr>
          <w:p w14:paraId="7FF1B5C8" w14:textId="77777777" w:rsidR="00D30D37" w:rsidRPr="00EF36A7" w:rsidRDefault="00D30D37" w:rsidP="007F5ED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s-CO"/>
              </w:rPr>
            </w:pPr>
            <w:r w:rsidRPr="00EF36A7">
              <w:rPr>
                <w:rFonts w:ascii="Times New Roman" w:hAnsi="Times New Roman" w:cs="Times New Roman"/>
                <w:sz w:val="24"/>
                <w:szCs w:val="24"/>
                <w:lang w:val="es-CO"/>
              </w:rPr>
              <w:lastRenderedPageBreak/>
              <w:t>Ley 80 de 1993; Decreto 1082 de 2015.</w:t>
            </w:r>
          </w:p>
        </w:tc>
      </w:tr>
    </w:tbl>
    <w:p w14:paraId="770E4AE6" w14:textId="3235387D" w:rsidR="00D30D37" w:rsidRPr="00D30D37" w:rsidRDefault="00D30D37" w:rsidP="00D30D37">
      <w:pPr>
        <w:tabs>
          <w:tab w:val="num" w:pos="720"/>
        </w:tabs>
        <w:spacing w:after="120" w:line="480" w:lineRule="auto"/>
        <w:jc w:val="center"/>
        <w:rPr>
          <w:rFonts w:ascii="Times New Roman" w:hAnsi="Times New Roman" w:cs="Times New Roman"/>
          <w:sz w:val="20"/>
          <w:szCs w:val="20"/>
          <w:lang w:val="es-CO"/>
        </w:rPr>
      </w:pPr>
      <w:bookmarkStart w:id="4" w:name="_Hlk211275791"/>
      <w:r w:rsidRPr="00D30D37">
        <w:rPr>
          <w:rFonts w:ascii="Times New Roman" w:hAnsi="Times New Roman" w:cs="Times New Roman"/>
          <w:sz w:val="20"/>
          <w:szCs w:val="20"/>
          <w:lang w:val="es-CO"/>
        </w:rPr>
        <w:t>Elaboración propia (2025)</w:t>
      </w:r>
    </w:p>
    <w:bookmarkEnd w:id="4"/>
    <w:p w14:paraId="183A480C" w14:textId="631FDFE3" w:rsidR="009B5E9A" w:rsidRDefault="009B5E9A" w:rsidP="00A255D8">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b/>
          <w:bCs/>
          <w:sz w:val="24"/>
          <w:szCs w:val="24"/>
        </w:rPr>
        <w:tab/>
      </w:r>
      <w:r w:rsidR="00300F77" w:rsidRPr="00300F77">
        <w:rPr>
          <w:rFonts w:ascii="Times New Roman" w:hAnsi="Times New Roman" w:cs="Times New Roman"/>
          <w:sz w:val="24"/>
          <w:szCs w:val="24"/>
        </w:rPr>
        <w:t xml:space="preserve">Ahora bien, una vez identificadas estas características </w:t>
      </w:r>
      <w:r w:rsidR="00C02E7A">
        <w:rPr>
          <w:rFonts w:ascii="Times New Roman" w:hAnsi="Times New Roman" w:cs="Times New Roman"/>
          <w:sz w:val="24"/>
          <w:szCs w:val="24"/>
        </w:rPr>
        <w:t xml:space="preserve">se pasará a hablar sobre el impacto que pueden llegar a tener frente al principio de la selección objetiva, teniendo en cuenta que, </w:t>
      </w:r>
      <w:r w:rsidR="00ED353D">
        <w:rPr>
          <w:rFonts w:ascii="Times New Roman" w:hAnsi="Times New Roman" w:cs="Times New Roman"/>
          <w:sz w:val="24"/>
          <w:szCs w:val="24"/>
        </w:rPr>
        <w:t xml:space="preserve">esta modalidad de contratación </w:t>
      </w:r>
      <w:r w:rsidR="00C02E7A" w:rsidRPr="00C02E7A">
        <w:rPr>
          <w:rFonts w:ascii="Times New Roman" w:hAnsi="Times New Roman" w:cs="Times New Roman"/>
          <w:sz w:val="24"/>
          <w:szCs w:val="24"/>
        </w:rPr>
        <w:t xml:space="preserve">impacta de manera directa </w:t>
      </w:r>
      <w:r w:rsidR="008B3D20">
        <w:rPr>
          <w:rFonts w:ascii="Times New Roman" w:hAnsi="Times New Roman" w:cs="Times New Roman"/>
          <w:sz w:val="24"/>
          <w:szCs w:val="24"/>
        </w:rPr>
        <w:t>mencionado principio</w:t>
      </w:r>
      <w:r w:rsidR="00C02E7A" w:rsidRPr="00C02E7A">
        <w:rPr>
          <w:rFonts w:ascii="Times New Roman" w:hAnsi="Times New Roman" w:cs="Times New Roman"/>
          <w:sz w:val="24"/>
          <w:szCs w:val="24"/>
        </w:rPr>
        <w:t xml:space="preserve">, en tanto permite </w:t>
      </w:r>
      <w:r w:rsidR="00ED353D">
        <w:rPr>
          <w:rFonts w:ascii="Times New Roman" w:hAnsi="Times New Roman" w:cs="Times New Roman"/>
          <w:sz w:val="24"/>
          <w:szCs w:val="24"/>
        </w:rPr>
        <w:t>evitar</w:t>
      </w:r>
      <w:r w:rsidR="00C02E7A" w:rsidRPr="00C02E7A">
        <w:rPr>
          <w:rFonts w:ascii="Times New Roman" w:hAnsi="Times New Roman" w:cs="Times New Roman"/>
          <w:sz w:val="24"/>
          <w:szCs w:val="24"/>
        </w:rPr>
        <w:t xml:space="preserve"> los procedimientos ordinarios de licitación</w:t>
      </w:r>
      <w:r w:rsidR="00DA7ADB">
        <w:rPr>
          <w:rFonts w:ascii="Times New Roman" w:hAnsi="Times New Roman" w:cs="Times New Roman"/>
          <w:sz w:val="24"/>
          <w:szCs w:val="24"/>
        </w:rPr>
        <w:t xml:space="preserve">, </w:t>
      </w:r>
      <w:r w:rsidR="00ED353D">
        <w:rPr>
          <w:rFonts w:ascii="Times New Roman" w:hAnsi="Times New Roman" w:cs="Times New Roman"/>
          <w:sz w:val="24"/>
          <w:szCs w:val="24"/>
        </w:rPr>
        <w:t>selección abreviada</w:t>
      </w:r>
      <w:r w:rsidR="0032459E">
        <w:rPr>
          <w:rFonts w:ascii="Times New Roman" w:hAnsi="Times New Roman" w:cs="Times New Roman"/>
          <w:sz w:val="24"/>
          <w:szCs w:val="24"/>
        </w:rPr>
        <w:t xml:space="preserve"> o mínima cuantía</w:t>
      </w:r>
      <w:r w:rsidR="00ED353D">
        <w:rPr>
          <w:rFonts w:ascii="Times New Roman" w:hAnsi="Times New Roman" w:cs="Times New Roman"/>
          <w:sz w:val="24"/>
          <w:szCs w:val="24"/>
        </w:rPr>
        <w:t xml:space="preserve"> </w:t>
      </w:r>
      <w:r w:rsidR="00C02E7A" w:rsidRPr="00C02E7A">
        <w:rPr>
          <w:rFonts w:ascii="Times New Roman" w:hAnsi="Times New Roman" w:cs="Times New Roman"/>
          <w:sz w:val="24"/>
          <w:szCs w:val="24"/>
        </w:rPr>
        <w:t xml:space="preserve">que garantizan la libre concurrencia de oferentes. Al autorizar la contratación directa, se reduce la competencia, se limita la publicidad del proceso y se amplía la discrecionalidad de la administración para </w:t>
      </w:r>
      <w:r w:rsidR="00ED353D">
        <w:rPr>
          <w:rFonts w:ascii="Times New Roman" w:hAnsi="Times New Roman" w:cs="Times New Roman"/>
          <w:sz w:val="24"/>
          <w:szCs w:val="24"/>
        </w:rPr>
        <w:t>selecciona</w:t>
      </w:r>
      <w:r w:rsidR="00C02E7A" w:rsidRPr="00C02E7A">
        <w:rPr>
          <w:rFonts w:ascii="Times New Roman" w:hAnsi="Times New Roman" w:cs="Times New Roman"/>
          <w:sz w:val="24"/>
          <w:szCs w:val="24"/>
        </w:rPr>
        <w:t>r al contratista, lo que puede derivar en decisiones basadas en criterios subjetivos o en favoritismos</w:t>
      </w:r>
      <w:r w:rsidR="00ED353D">
        <w:rPr>
          <w:rFonts w:ascii="Times New Roman" w:hAnsi="Times New Roman" w:cs="Times New Roman"/>
          <w:sz w:val="24"/>
          <w:szCs w:val="24"/>
        </w:rPr>
        <w:t>.</w:t>
      </w:r>
    </w:p>
    <w:p w14:paraId="0FE44AAD" w14:textId="1B820702" w:rsidR="00C67FDC" w:rsidRDefault="00237C05" w:rsidP="00C67FDC">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sz w:val="24"/>
          <w:szCs w:val="24"/>
        </w:rPr>
        <w:tab/>
        <w:t xml:space="preserve">Para Cañón et al (2022), </w:t>
      </w:r>
      <w:r w:rsidR="003406BC">
        <w:rPr>
          <w:rFonts w:ascii="Times New Roman" w:hAnsi="Times New Roman" w:cs="Times New Roman"/>
          <w:sz w:val="24"/>
          <w:szCs w:val="24"/>
          <w:lang w:val="es-CO"/>
        </w:rPr>
        <w:t>la motivación</w:t>
      </w:r>
      <w:r w:rsidR="00C67FDC" w:rsidRPr="00C67FDC">
        <w:rPr>
          <w:rFonts w:ascii="Times New Roman" w:hAnsi="Times New Roman" w:cs="Times New Roman"/>
          <w:sz w:val="24"/>
          <w:szCs w:val="24"/>
          <w:lang w:val="es-CO"/>
        </w:rPr>
        <w:t xml:space="preserve"> de los contratos suscritos bajo la figura de urgencia manifiesta, los cuales se celebran a través de contratación directa, debe estar estrictamente vinculad</w:t>
      </w:r>
      <w:r w:rsidR="003406BC">
        <w:rPr>
          <w:rFonts w:ascii="Times New Roman" w:hAnsi="Times New Roman" w:cs="Times New Roman"/>
          <w:sz w:val="24"/>
          <w:szCs w:val="24"/>
          <w:lang w:val="es-CO"/>
        </w:rPr>
        <w:t>a</w:t>
      </w:r>
      <w:r w:rsidR="00C67FDC" w:rsidRPr="00C67FDC">
        <w:rPr>
          <w:rFonts w:ascii="Times New Roman" w:hAnsi="Times New Roman" w:cs="Times New Roman"/>
          <w:sz w:val="24"/>
          <w:szCs w:val="24"/>
          <w:lang w:val="es-CO"/>
        </w:rPr>
        <w:t xml:space="preserve"> con la situación extraordinaria que se busca atender. </w:t>
      </w:r>
      <w:r w:rsidR="003406BC">
        <w:rPr>
          <w:rFonts w:ascii="Times New Roman" w:hAnsi="Times New Roman" w:cs="Times New Roman"/>
          <w:sz w:val="24"/>
          <w:szCs w:val="24"/>
          <w:lang w:val="es-CO"/>
        </w:rPr>
        <w:t>Así mismo</w:t>
      </w:r>
      <w:r w:rsidR="00C67FDC" w:rsidRPr="00C67FDC">
        <w:rPr>
          <w:rFonts w:ascii="Times New Roman" w:hAnsi="Times New Roman" w:cs="Times New Roman"/>
          <w:sz w:val="24"/>
          <w:szCs w:val="24"/>
          <w:lang w:val="es-CO"/>
        </w:rPr>
        <w:t>, las estipulaciones relacionadas con el precio y el plazo deben ajustarse a los criterios de inmediatez y necesidad que justificaron su celebración, de modo que contribuyan a mitigar la amenaza al interés general mientras se adelantan las gestiones para iniciar el proceso de selección ordinario como la licitación pública</w:t>
      </w:r>
      <w:r w:rsidR="003406BC">
        <w:rPr>
          <w:rFonts w:ascii="Times New Roman" w:hAnsi="Times New Roman" w:cs="Times New Roman"/>
          <w:sz w:val="24"/>
          <w:szCs w:val="24"/>
          <w:lang w:val="es-CO"/>
        </w:rPr>
        <w:t xml:space="preserve"> entre otras modalidades. </w:t>
      </w:r>
    </w:p>
    <w:p w14:paraId="31A5124F" w14:textId="7F8040B0" w:rsidR="003406BC" w:rsidRPr="00C67FDC" w:rsidRDefault="003406BC" w:rsidP="00C67FDC">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sz w:val="24"/>
          <w:szCs w:val="24"/>
          <w:lang w:val="es-CO"/>
        </w:rPr>
        <w:tab/>
      </w:r>
      <w:r w:rsidR="00967BD5">
        <w:rPr>
          <w:rFonts w:ascii="Times New Roman" w:hAnsi="Times New Roman" w:cs="Times New Roman"/>
          <w:sz w:val="24"/>
          <w:szCs w:val="24"/>
          <w:lang w:val="es-CO"/>
        </w:rPr>
        <w:t xml:space="preserve">De la misma forma, </w:t>
      </w:r>
      <w:r w:rsidR="00967BD5" w:rsidRPr="00967BD5">
        <w:rPr>
          <w:rFonts w:ascii="Times New Roman" w:hAnsi="Times New Roman" w:cs="Times New Roman"/>
          <w:sz w:val="24"/>
          <w:szCs w:val="24"/>
        </w:rPr>
        <w:t xml:space="preserve">la jurisprudencia del Consejo de Estado ha precisado los principios que orientan la declaratoria de urgencia manifiesta, destacando en particular los de </w:t>
      </w:r>
      <w:r w:rsidR="00967BD5">
        <w:rPr>
          <w:rFonts w:ascii="Times New Roman" w:hAnsi="Times New Roman" w:cs="Times New Roman"/>
          <w:sz w:val="24"/>
          <w:szCs w:val="24"/>
        </w:rPr>
        <w:t>selección objetiva</w:t>
      </w:r>
      <w:r w:rsidR="00967BD5" w:rsidRPr="00967BD5">
        <w:rPr>
          <w:rFonts w:ascii="Times New Roman" w:hAnsi="Times New Roman" w:cs="Times New Roman"/>
          <w:sz w:val="24"/>
          <w:szCs w:val="24"/>
        </w:rPr>
        <w:t xml:space="preserve">, economía y legalidad. En cuanto al principio de </w:t>
      </w:r>
      <w:r w:rsidR="00967BD5">
        <w:rPr>
          <w:rFonts w:ascii="Times New Roman" w:hAnsi="Times New Roman" w:cs="Times New Roman"/>
          <w:sz w:val="24"/>
          <w:szCs w:val="24"/>
        </w:rPr>
        <w:t>selección objetiva</w:t>
      </w:r>
      <w:r w:rsidR="00967BD5" w:rsidRPr="00967BD5">
        <w:rPr>
          <w:rFonts w:ascii="Times New Roman" w:hAnsi="Times New Roman" w:cs="Times New Roman"/>
          <w:sz w:val="24"/>
          <w:szCs w:val="24"/>
        </w:rPr>
        <w:t xml:space="preserve">, ha indicado que es </w:t>
      </w:r>
      <w:r w:rsidR="00967BD5" w:rsidRPr="00967BD5">
        <w:rPr>
          <w:rFonts w:ascii="Times New Roman" w:hAnsi="Times New Roman" w:cs="Times New Roman"/>
          <w:sz w:val="24"/>
          <w:szCs w:val="24"/>
        </w:rPr>
        <w:lastRenderedPageBreak/>
        <w:t>indispensable constatar la presencia de una circunstancia material que ponga en riesgo el interés general, la cual puede corresponder a un hecho ya ocurrido, en curso o previsible, que demande la adopción de medidas inmediatas y efectivas para prevenir o mitigar sus efectos (Consejo de Estado, Radicado 41.768, 2015).</w:t>
      </w:r>
    </w:p>
    <w:p w14:paraId="7B7B7520" w14:textId="44000412" w:rsidR="00237C05" w:rsidRDefault="00C67FDC" w:rsidP="00A255D8">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rPr>
        <w:tab/>
      </w:r>
      <w:r w:rsidR="00185961">
        <w:rPr>
          <w:rFonts w:ascii="Times New Roman" w:hAnsi="Times New Roman" w:cs="Times New Roman"/>
          <w:sz w:val="24"/>
          <w:szCs w:val="24"/>
        </w:rPr>
        <w:t xml:space="preserve">Asimismo, </w:t>
      </w:r>
      <w:r w:rsidR="003175BB">
        <w:rPr>
          <w:rFonts w:ascii="Times New Roman" w:hAnsi="Times New Roman" w:cs="Times New Roman"/>
          <w:sz w:val="24"/>
          <w:szCs w:val="24"/>
        </w:rPr>
        <w:t>Guzmán (2022</w:t>
      </w:r>
      <w:r w:rsidR="00DA7ADB">
        <w:rPr>
          <w:rFonts w:ascii="Times New Roman" w:hAnsi="Times New Roman" w:cs="Times New Roman"/>
          <w:sz w:val="24"/>
          <w:szCs w:val="24"/>
        </w:rPr>
        <w:t>) expreso</w:t>
      </w:r>
      <w:r w:rsidR="003175BB">
        <w:rPr>
          <w:rFonts w:ascii="Times New Roman" w:hAnsi="Times New Roman" w:cs="Times New Roman"/>
          <w:sz w:val="24"/>
          <w:szCs w:val="24"/>
        </w:rPr>
        <w:t xml:space="preserve"> que, </w:t>
      </w:r>
      <w:r w:rsidR="00364DD6">
        <w:rPr>
          <w:rFonts w:ascii="Times New Roman" w:hAnsi="Times New Roman" w:cs="Times New Roman"/>
          <w:sz w:val="24"/>
          <w:szCs w:val="24"/>
        </w:rPr>
        <w:t>l</w:t>
      </w:r>
      <w:r w:rsidR="00364DD6" w:rsidRPr="00364DD6">
        <w:rPr>
          <w:rFonts w:ascii="Times New Roman" w:hAnsi="Times New Roman" w:cs="Times New Roman"/>
          <w:sz w:val="24"/>
          <w:szCs w:val="24"/>
        </w:rPr>
        <w:t>a urgencia manifiesta procede únicamente cuando se presenta una calamidad, un hecho de fuerza mayor o un desastre que requiere una intervención inmediata por parte de la entidad estatal, y no como mecanismo para corregir fallas derivadas de una planeación inadecuada o de la falta de previsión administrativa. En este sentido, uno de los escenarios que puede dar lugar a su declaratoria corresponde precisamente a la configuración de una situación de fuerza mayor que haga indispensable una actuación urgente.</w:t>
      </w:r>
    </w:p>
    <w:p w14:paraId="4D854901" w14:textId="77777777" w:rsidR="00EE1494" w:rsidRDefault="00667289" w:rsidP="00A255D8">
      <w:pPr>
        <w:tabs>
          <w:tab w:val="num" w:pos="720"/>
        </w:tabs>
        <w:spacing w:after="120" w:line="480" w:lineRule="auto"/>
        <w:jc w:val="both"/>
        <w:rPr>
          <w:rFonts w:ascii="Times New Roman" w:eastAsia="Times New Roman" w:hAnsi="Times New Roman" w:cs="Times New Roman"/>
          <w:bCs/>
          <w:sz w:val="24"/>
          <w:szCs w:val="24"/>
          <w:lang w:val="es-CO" w:eastAsia="es-ES"/>
        </w:rPr>
      </w:pPr>
      <w:r>
        <w:rPr>
          <w:rFonts w:ascii="Times New Roman" w:hAnsi="Times New Roman" w:cs="Times New Roman"/>
          <w:sz w:val="24"/>
          <w:szCs w:val="24"/>
        </w:rPr>
        <w:tab/>
      </w:r>
      <w:r w:rsidR="00AA593D">
        <w:rPr>
          <w:rFonts w:ascii="Times New Roman" w:hAnsi="Times New Roman" w:cs="Times New Roman"/>
          <w:sz w:val="24"/>
          <w:szCs w:val="24"/>
        </w:rPr>
        <w:t>En ese sentido</w:t>
      </w:r>
      <w:r w:rsidR="00AA593D" w:rsidRPr="00DD7E27">
        <w:rPr>
          <w:rFonts w:ascii="Times New Roman" w:hAnsi="Times New Roman" w:cs="Times New Roman"/>
          <w:sz w:val="24"/>
          <w:szCs w:val="24"/>
        </w:rPr>
        <w:t xml:space="preserve">, </w:t>
      </w:r>
      <w:r w:rsidR="00DD7E27" w:rsidRPr="00DD7E27">
        <w:rPr>
          <w:rFonts w:ascii="Times New Roman" w:hAnsi="Times New Roman" w:cs="Times New Roman"/>
          <w:sz w:val="24"/>
          <w:szCs w:val="24"/>
          <w:lang w:val="es-CO"/>
        </w:rPr>
        <w:t>la urgencia manifiesta constituye una circunstancia excepcional en la que las funciones habituales de la administración y la prestación del servicio público se ven alteradas por la aparición de hechos que exigen a los responsables de la contratación adoptar decisiones inmediatas, imposibles de posponer</w:t>
      </w:r>
      <w:r w:rsidR="00EE1494">
        <w:rPr>
          <w:rFonts w:ascii="Times New Roman" w:hAnsi="Times New Roman" w:cs="Times New Roman"/>
          <w:sz w:val="24"/>
          <w:szCs w:val="24"/>
          <w:lang w:val="es-CO"/>
        </w:rPr>
        <w:t>, e</w:t>
      </w:r>
      <w:r w:rsidR="00DD7E27" w:rsidRPr="00DD7E27">
        <w:rPr>
          <w:rFonts w:ascii="Times New Roman" w:hAnsi="Times New Roman" w:cs="Times New Roman"/>
          <w:sz w:val="24"/>
          <w:szCs w:val="24"/>
          <w:lang w:val="es-CO"/>
        </w:rPr>
        <w:t>ste es el criterio fundamental que sustenta la procedencia de su declaratoria.</w:t>
      </w:r>
      <w:r w:rsidR="00085A57" w:rsidRPr="00085A57">
        <w:rPr>
          <w:rFonts w:ascii="Times New Roman" w:eastAsia="Times New Roman" w:hAnsi="Times New Roman" w:cs="Times New Roman"/>
          <w:bCs/>
          <w:sz w:val="24"/>
          <w:szCs w:val="24"/>
          <w:lang w:val="es-CO" w:eastAsia="es-ES"/>
        </w:rPr>
        <w:t xml:space="preserve"> </w:t>
      </w:r>
    </w:p>
    <w:p w14:paraId="4FFD118D" w14:textId="0D4E97CA" w:rsidR="0062177C" w:rsidRPr="00EE1494" w:rsidRDefault="00EE1494" w:rsidP="00A255D8">
      <w:pPr>
        <w:tabs>
          <w:tab w:val="num" w:pos="720"/>
        </w:tabs>
        <w:spacing w:after="120" w:line="480" w:lineRule="auto"/>
        <w:jc w:val="both"/>
        <w:rPr>
          <w:rFonts w:ascii="Times New Roman" w:hAnsi="Times New Roman" w:cs="Times New Roman"/>
          <w:sz w:val="24"/>
          <w:szCs w:val="24"/>
          <w:lang w:val="es-CO"/>
        </w:rPr>
      </w:pPr>
      <w:r>
        <w:rPr>
          <w:rFonts w:ascii="Times New Roman" w:eastAsia="Times New Roman" w:hAnsi="Times New Roman" w:cs="Times New Roman"/>
          <w:bCs/>
          <w:sz w:val="24"/>
          <w:szCs w:val="24"/>
          <w:lang w:val="es-CO" w:eastAsia="es-ES"/>
        </w:rPr>
        <w:tab/>
      </w:r>
      <w:r w:rsidR="00085A57" w:rsidRPr="00085A57">
        <w:rPr>
          <w:rFonts w:ascii="Times New Roman" w:hAnsi="Times New Roman" w:cs="Times New Roman"/>
          <w:bCs/>
          <w:sz w:val="24"/>
          <w:szCs w:val="24"/>
          <w:lang w:val="es-CO"/>
        </w:rPr>
        <w:t>Adicionalmente, es de resaltar que bajo la figura de urgencia manifiesta existe una sujeción al control fiscal y debe cumplir con los requisitos legales establecidos. Mediante</w:t>
      </w:r>
      <w:r w:rsidR="00085A57" w:rsidRPr="00085A57">
        <w:rPr>
          <w:rFonts w:ascii="Times New Roman" w:hAnsi="Times New Roman" w:cs="Times New Roman"/>
          <w:sz w:val="24"/>
          <w:szCs w:val="24"/>
          <w:lang w:val="es-ES"/>
        </w:rPr>
        <w:t xml:space="preserve"> </w:t>
      </w:r>
      <w:r w:rsidR="00085A57" w:rsidRPr="00085A57">
        <w:rPr>
          <w:rFonts w:ascii="Times New Roman" w:hAnsi="Times New Roman" w:cs="Times New Roman"/>
          <w:bCs/>
          <w:sz w:val="24"/>
          <w:szCs w:val="24"/>
          <w:lang w:val="es-ES"/>
        </w:rPr>
        <w:t xml:space="preserve">Sentencia 2012-00406 de 2020 del Consejo de Estado Consejo de Estado (2020) se considera que </w:t>
      </w:r>
      <w:r w:rsidR="00085A57" w:rsidRPr="00085A57">
        <w:rPr>
          <w:rFonts w:ascii="Times New Roman" w:hAnsi="Times New Roman" w:cs="Times New Roman"/>
          <w:bCs/>
          <w:sz w:val="24"/>
          <w:szCs w:val="24"/>
          <w:lang w:val="es-CO"/>
        </w:rPr>
        <w:t xml:space="preserve">la Contraloría General de la República tiene la facultad de verificar la ocurrencia de los hechos que dieron lugar a la declaratoria de urgencia y de examinar si se ajustan a los presupuestos normativos. Además, la jurisprudencia ha señalado que, aunque en situaciones de urgencia manifiesta se permite cierta </w:t>
      </w:r>
      <w:r w:rsidR="00085A57" w:rsidRPr="00085A57">
        <w:rPr>
          <w:rFonts w:ascii="Times New Roman" w:hAnsi="Times New Roman" w:cs="Times New Roman"/>
          <w:bCs/>
          <w:sz w:val="24"/>
          <w:szCs w:val="24"/>
          <w:lang w:val="es-CO"/>
        </w:rPr>
        <w:lastRenderedPageBreak/>
        <w:t>flexibilidad en los procedimientos, no se exime a las entidades de cumplir con los principios rectores de la contratación pública, incluyendo la selección objetiva y la transparencia</w:t>
      </w:r>
      <w:r w:rsidR="00085A57">
        <w:rPr>
          <w:rFonts w:ascii="Times New Roman" w:hAnsi="Times New Roman" w:cs="Times New Roman"/>
          <w:sz w:val="24"/>
          <w:szCs w:val="24"/>
        </w:rPr>
        <w:t>.</w:t>
      </w:r>
    </w:p>
    <w:p w14:paraId="61434BE0" w14:textId="5991E2E1" w:rsidR="00DA12AE" w:rsidRPr="00DA12AE" w:rsidRDefault="00DA12AE" w:rsidP="00DA12AE">
      <w:pPr>
        <w:pStyle w:val="Prrafodelista"/>
        <w:numPr>
          <w:ilvl w:val="1"/>
          <w:numId w:val="34"/>
        </w:numPr>
        <w:tabs>
          <w:tab w:val="num" w:pos="720"/>
        </w:tabs>
        <w:spacing w:after="120" w:line="480" w:lineRule="auto"/>
        <w:jc w:val="both"/>
        <w:rPr>
          <w:rFonts w:ascii="Times New Roman" w:hAnsi="Times New Roman" w:cs="Times New Roman"/>
          <w:b/>
          <w:bCs/>
          <w:sz w:val="24"/>
          <w:szCs w:val="24"/>
          <w:lang w:val="es-ES"/>
        </w:rPr>
      </w:pPr>
      <w:r w:rsidRPr="00DA12AE">
        <w:rPr>
          <w:rFonts w:ascii="Times New Roman" w:hAnsi="Times New Roman" w:cs="Times New Roman"/>
          <w:b/>
          <w:bCs/>
          <w:sz w:val="24"/>
          <w:szCs w:val="24"/>
          <w:lang w:val="es-ES"/>
        </w:rPr>
        <w:t xml:space="preserve">Riesgos y beneficios </w:t>
      </w:r>
      <w:bookmarkStart w:id="5" w:name="_Hlk211272899"/>
      <w:r w:rsidRPr="00DA12AE">
        <w:rPr>
          <w:rFonts w:ascii="Times New Roman" w:hAnsi="Times New Roman" w:cs="Times New Roman"/>
          <w:b/>
          <w:bCs/>
          <w:sz w:val="24"/>
          <w:szCs w:val="24"/>
          <w:lang w:val="es-ES"/>
        </w:rPr>
        <w:t>que surgen de la suscripción de contrataos estatales en casos de urgencia manifiesta con relación al principio de la selección objetiva</w:t>
      </w:r>
      <w:bookmarkEnd w:id="5"/>
      <w:r w:rsidRPr="00DA12AE">
        <w:rPr>
          <w:rFonts w:ascii="Times New Roman" w:hAnsi="Times New Roman" w:cs="Times New Roman"/>
          <w:b/>
          <w:bCs/>
          <w:sz w:val="24"/>
          <w:szCs w:val="24"/>
          <w:lang w:val="es-ES"/>
        </w:rPr>
        <w:t>.</w:t>
      </w:r>
    </w:p>
    <w:p w14:paraId="1A11D490" w14:textId="77777777" w:rsidR="00A924EF" w:rsidRDefault="00E67A9F" w:rsidP="00A255D8">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lang w:val="es-CO"/>
        </w:rPr>
        <w:tab/>
      </w:r>
      <w:r w:rsidR="00A924EF">
        <w:rPr>
          <w:rFonts w:ascii="Times New Roman" w:hAnsi="Times New Roman" w:cs="Times New Roman"/>
          <w:sz w:val="24"/>
          <w:szCs w:val="24"/>
          <w:lang w:val="es-CO"/>
        </w:rPr>
        <w:t xml:space="preserve">Como se desarrolló en el capítulo anterior, </w:t>
      </w:r>
      <w:r w:rsidR="00A924EF">
        <w:rPr>
          <w:rFonts w:ascii="Times New Roman" w:hAnsi="Times New Roman" w:cs="Times New Roman"/>
          <w:sz w:val="24"/>
          <w:szCs w:val="24"/>
        </w:rPr>
        <w:t>l</w:t>
      </w:r>
      <w:r w:rsidR="00A924EF" w:rsidRPr="00A924EF">
        <w:rPr>
          <w:rFonts w:ascii="Times New Roman" w:hAnsi="Times New Roman" w:cs="Times New Roman"/>
          <w:sz w:val="24"/>
          <w:szCs w:val="24"/>
        </w:rPr>
        <w:t>a contratación estatal bajo la figura de la urgencia manifiesta constituye un mecanismo excepcional diseñado para responder con celeridad a situaciones imprevistas que amenazan el interés general. Su carácter inmediato permite a las entidades públicas atender calamidades, emergencias sanitarias o desastres naturales sin los trámites propios de un proceso ordinario de selección, lo que representa un beneficio directo en términos de eficacia y oportunidad. Sin embargo, esta misma flexibilidad abre la posibilidad de riesgos significativos, como la disminución de la competencia, el debilitamiento de la transparencia y el aumento de la discrecionalidad administrativa.</w:t>
      </w:r>
    </w:p>
    <w:p w14:paraId="19E17C30" w14:textId="3DD10096" w:rsidR="00304F93" w:rsidRDefault="00A924EF" w:rsidP="00D83FF3">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rPr>
        <w:tab/>
      </w:r>
      <w:r w:rsidR="00D83FF3">
        <w:rPr>
          <w:rFonts w:ascii="Times New Roman" w:hAnsi="Times New Roman" w:cs="Times New Roman"/>
          <w:sz w:val="24"/>
          <w:szCs w:val="24"/>
        </w:rPr>
        <w:t xml:space="preserve">Por su parte, </w:t>
      </w:r>
      <w:r w:rsidR="00D83FF3" w:rsidRPr="00D83FF3">
        <w:rPr>
          <w:rFonts w:ascii="Times New Roman" w:hAnsi="Times New Roman" w:cs="Times New Roman"/>
          <w:sz w:val="24"/>
          <w:szCs w:val="24"/>
        </w:rPr>
        <w:t>Ortega</w:t>
      </w:r>
      <w:r w:rsidR="00D83FF3">
        <w:rPr>
          <w:rFonts w:ascii="Times New Roman" w:hAnsi="Times New Roman" w:cs="Times New Roman"/>
          <w:sz w:val="24"/>
          <w:szCs w:val="24"/>
        </w:rPr>
        <w:t xml:space="preserve"> </w:t>
      </w:r>
      <w:r w:rsidR="00D83FF3" w:rsidRPr="00D83FF3">
        <w:rPr>
          <w:rFonts w:ascii="Times New Roman" w:hAnsi="Times New Roman" w:cs="Times New Roman"/>
          <w:sz w:val="24"/>
          <w:szCs w:val="24"/>
        </w:rPr>
        <w:t>&amp; Correa (2022)</w:t>
      </w:r>
      <w:r w:rsidR="00D83FF3">
        <w:rPr>
          <w:rFonts w:ascii="Times New Roman" w:hAnsi="Times New Roman" w:cs="Times New Roman"/>
          <w:sz w:val="24"/>
          <w:szCs w:val="24"/>
        </w:rPr>
        <w:t xml:space="preserve"> expresaron que el </w:t>
      </w:r>
      <w:r w:rsidRPr="00A924EF">
        <w:rPr>
          <w:rFonts w:ascii="Times New Roman" w:hAnsi="Times New Roman" w:cs="Times New Roman"/>
          <w:sz w:val="24"/>
          <w:szCs w:val="24"/>
        </w:rPr>
        <w:t>principio de selección objetiva se convierte en un parámetro fundamental para evaluar si la urgencia manifiesta cumple su finalidad legítima o si, por el contrario, se convierte en un escenario propicio para la vulneración de la equidad y el direccionamiento de contratos.</w:t>
      </w:r>
      <w:r w:rsidR="00D83FF3">
        <w:rPr>
          <w:rFonts w:ascii="Times New Roman" w:hAnsi="Times New Roman" w:cs="Times New Roman"/>
          <w:sz w:val="24"/>
          <w:szCs w:val="24"/>
        </w:rPr>
        <w:t xml:space="preserve"> En ese sentido, a</w:t>
      </w:r>
      <w:r w:rsidRPr="00A924EF">
        <w:rPr>
          <w:rFonts w:ascii="Times New Roman" w:hAnsi="Times New Roman" w:cs="Times New Roman"/>
          <w:sz w:val="24"/>
          <w:szCs w:val="24"/>
        </w:rPr>
        <w:t>nalizar los beneficios y riesgos asociados a esta figura resulta esencial para equilibrar la necesidad de una respuesta ágil del Estado con la obligación de proteger los recursos públicos y mantener la confianza ciudadana en la gestión contractual.</w:t>
      </w:r>
      <w:r w:rsidR="00304F93">
        <w:rPr>
          <w:rFonts w:ascii="Times New Roman" w:hAnsi="Times New Roman" w:cs="Times New Roman"/>
          <w:sz w:val="24"/>
          <w:szCs w:val="24"/>
        </w:rPr>
        <w:tab/>
      </w:r>
    </w:p>
    <w:p w14:paraId="57CE377B" w14:textId="7A08278D" w:rsidR="009152A7" w:rsidRPr="00EE1494" w:rsidRDefault="00D83FF3" w:rsidP="009152A7">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sz w:val="24"/>
          <w:szCs w:val="24"/>
        </w:rPr>
        <w:tab/>
      </w:r>
      <w:r w:rsidR="00EE1494">
        <w:rPr>
          <w:rFonts w:ascii="Times New Roman" w:hAnsi="Times New Roman" w:cs="Times New Roman"/>
          <w:sz w:val="24"/>
          <w:szCs w:val="24"/>
        </w:rPr>
        <w:t xml:space="preserve">En ese orden de ideas, se debe resaltar </w:t>
      </w:r>
      <w:r w:rsidR="00EE1494" w:rsidRPr="00EE1494">
        <w:rPr>
          <w:rFonts w:ascii="Times New Roman" w:hAnsi="Times New Roman" w:cs="Times New Roman"/>
          <w:sz w:val="24"/>
          <w:szCs w:val="24"/>
          <w:lang w:val="es-CO"/>
        </w:rPr>
        <w:t>l</w:t>
      </w:r>
      <w:r w:rsidR="009152A7" w:rsidRPr="00EE1494">
        <w:rPr>
          <w:rFonts w:ascii="Times New Roman" w:hAnsi="Times New Roman" w:cs="Times New Roman"/>
          <w:sz w:val="24"/>
          <w:szCs w:val="24"/>
          <w:lang w:val="es-CO"/>
        </w:rPr>
        <w:t xml:space="preserve">a emergencia ocasionada por la pandemia del COVID-19 </w:t>
      </w:r>
      <w:r w:rsidR="00EE1494" w:rsidRPr="00EE1494">
        <w:rPr>
          <w:rFonts w:ascii="Times New Roman" w:hAnsi="Times New Roman" w:cs="Times New Roman"/>
          <w:sz w:val="24"/>
          <w:szCs w:val="24"/>
          <w:lang w:val="es-CO"/>
        </w:rPr>
        <w:t xml:space="preserve">donde se </w:t>
      </w:r>
      <w:r w:rsidR="009152A7" w:rsidRPr="00EE1494">
        <w:rPr>
          <w:rFonts w:ascii="Times New Roman" w:hAnsi="Times New Roman" w:cs="Times New Roman"/>
          <w:sz w:val="24"/>
          <w:szCs w:val="24"/>
          <w:lang w:val="es-CO"/>
        </w:rPr>
        <w:t xml:space="preserve">evidenció la necesidad de introducir ajustes en los contratos administrativos </w:t>
      </w:r>
      <w:r w:rsidR="009152A7" w:rsidRPr="00EE1494">
        <w:rPr>
          <w:rFonts w:ascii="Times New Roman" w:hAnsi="Times New Roman" w:cs="Times New Roman"/>
          <w:sz w:val="24"/>
          <w:szCs w:val="24"/>
          <w:lang w:val="es-CO"/>
        </w:rPr>
        <w:lastRenderedPageBreak/>
        <w:t>en curso y de flexibilizar ciertos procedimientos de la administración pública. Sin embargo, dicha flexibilización abrió espacio a un ejercicio discrecional por parte de las entidades estatales, en la medida en que permitió acudir al Fondo de Contingencias para atender situaciones de urgencia evidente, lo que, en algunos casos, podría entrar en tensión con los principios de planeación y responsabilidad fiscal. Este escenario puso de manifiesto la importancia de reflexionar sobre las múltiples contingencias que pueden afectar de manera inesperada la gestión pública</w:t>
      </w:r>
      <w:r w:rsidR="00AA5F34">
        <w:rPr>
          <w:rFonts w:ascii="Times New Roman" w:hAnsi="Times New Roman" w:cs="Times New Roman"/>
          <w:sz w:val="24"/>
          <w:szCs w:val="24"/>
          <w:lang w:val="es-CO"/>
        </w:rPr>
        <w:t xml:space="preserve"> (Torres,2020)</w:t>
      </w:r>
      <w:r w:rsidR="009152A7" w:rsidRPr="00EE1494">
        <w:rPr>
          <w:rFonts w:ascii="Times New Roman" w:hAnsi="Times New Roman" w:cs="Times New Roman"/>
          <w:sz w:val="24"/>
          <w:szCs w:val="24"/>
          <w:lang w:val="es-CO"/>
        </w:rPr>
        <w:t>.</w:t>
      </w:r>
    </w:p>
    <w:p w14:paraId="0FD2CB4E" w14:textId="24F45E1B" w:rsidR="00546095" w:rsidRDefault="00AA5F34" w:rsidP="009152A7">
      <w:pPr>
        <w:tabs>
          <w:tab w:val="num" w:pos="720"/>
        </w:tabs>
        <w:spacing w:after="120" w:line="480" w:lineRule="auto"/>
        <w:jc w:val="both"/>
        <w:rPr>
          <w:rFonts w:ascii="Times New Roman" w:hAnsi="Times New Roman" w:cs="Times New Roman"/>
          <w:sz w:val="24"/>
          <w:szCs w:val="24"/>
          <w:lang w:val="es-CO"/>
        </w:rPr>
      </w:pPr>
      <w:r w:rsidRPr="00AA5F34">
        <w:rPr>
          <w:rFonts w:ascii="Times New Roman" w:hAnsi="Times New Roman" w:cs="Times New Roman"/>
          <w:sz w:val="24"/>
          <w:szCs w:val="24"/>
          <w:lang w:val="es-CO"/>
        </w:rPr>
        <w:tab/>
      </w:r>
      <w:r w:rsidR="009152A7" w:rsidRPr="00AA5F34">
        <w:rPr>
          <w:rFonts w:ascii="Times New Roman" w:hAnsi="Times New Roman" w:cs="Times New Roman"/>
          <w:sz w:val="24"/>
          <w:szCs w:val="24"/>
          <w:lang w:val="es-CO"/>
        </w:rPr>
        <w:t xml:space="preserve">En este contexto, resulta esencial identificar los principales riesgos asociados a la contratación estatal. Entre ellos </w:t>
      </w:r>
      <w:r w:rsidR="00546095">
        <w:rPr>
          <w:rFonts w:ascii="Times New Roman" w:hAnsi="Times New Roman" w:cs="Times New Roman"/>
          <w:sz w:val="24"/>
          <w:szCs w:val="24"/>
          <w:lang w:val="es-CO"/>
        </w:rPr>
        <w:t xml:space="preserve">Zuluaga (2025) </w:t>
      </w:r>
      <w:r w:rsidR="009152A7" w:rsidRPr="00AA5F34">
        <w:rPr>
          <w:rFonts w:ascii="Times New Roman" w:hAnsi="Times New Roman" w:cs="Times New Roman"/>
          <w:sz w:val="24"/>
          <w:szCs w:val="24"/>
          <w:lang w:val="es-CO"/>
        </w:rPr>
        <w:t>destaca</w:t>
      </w:r>
      <w:r w:rsidR="00546095">
        <w:rPr>
          <w:rFonts w:ascii="Times New Roman" w:hAnsi="Times New Roman" w:cs="Times New Roman"/>
          <w:sz w:val="24"/>
          <w:szCs w:val="24"/>
          <w:lang w:val="es-CO"/>
        </w:rPr>
        <w:t>, l</w:t>
      </w:r>
      <w:r w:rsidR="009152A7" w:rsidRPr="00AA5F34">
        <w:rPr>
          <w:rFonts w:ascii="Times New Roman" w:hAnsi="Times New Roman" w:cs="Times New Roman"/>
          <w:sz w:val="24"/>
          <w:szCs w:val="24"/>
          <w:lang w:val="es-CO"/>
        </w:rPr>
        <w:t xml:space="preserve">a corrupción; los riesgos comerciales relacionados con la viabilidad y utilidad de los proyectos; los riesgos de construcción derivados de la capacidad financiera, operativa y logística; los riesgos cambiarios, cuando el contrato implica operaciones en moneda extranjera; y los riesgos operativos, que dependen de quién asuma la titularidad y responsabilidad sobre el bien objeto del contrato, como sucede en los contratos de concesión. </w:t>
      </w:r>
    </w:p>
    <w:p w14:paraId="1D334446" w14:textId="2CF8D02B" w:rsidR="009152A7" w:rsidRPr="00AA5F34" w:rsidRDefault="00546095" w:rsidP="009152A7">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sz w:val="24"/>
          <w:szCs w:val="24"/>
          <w:lang w:val="es-CO"/>
        </w:rPr>
        <w:tab/>
        <w:t>Adicionalmente, se deben tener en consideración</w:t>
      </w:r>
      <w:r w:rsidR="009152A7" w:rsidRPr="00AA5F34">
        <w:rPr>
          <w:rFonts w:ascii="Times New Roman" w:hAnsi="Times New Roman" w:cs="Times New Roman"/>
          <w:sz w:val="24"/>
          <w:szCs w:val="24"/>
          <w:lang w:val="es-CO"/>
        </w:rPr>
        <w:t xml:space="preserve"> los riesgos financieros, estrechamente ligados a la confianza de las entidades financieras y al contexto político; los riesgos de fuerza mayor; los riesgos regulatorios derivados de cambios normativos sustanciales; los riesgos de adquisición de predios, comunes en la región; y los riesgos ambientales asociados al manejo inadecuado de recursos, maquinaria o insumos. También es relevante considerar los riesgos políticos o soberanos, poco frecuentes en Colombia por su estabilidad democrática, pero presentes en países cercanos; así como los riesgos de consulta previa con comunidades étnicas, que pueden generar retrasos y sobrecostos.</w:t>
      </w:r>
    </w:p>
    <w:p w14:paraId="506E8310" w14:textId="23F4EB43" w:rsidR="00C56531" w:rsidRDefault="00C56531" w:rsidP="009152A7">
      <w:pPr>
        <w:tabs>
          <w:tab w:val="num" w:pos="720"/>
        </w:tabs>
        <w:spacing w:after="120" w:line="480" w:lineRule="auto"/>
        <w:jc w:val="both"/>
        <w:rPr>
          <w:rFonts w:ascii="Times New Roman" w:hAnsi="Times New Roman" w:cs="Times New Roman"/>
          <w:sz w:val="24"/>
          <w:szCs w:val="24"/>
          <w:lang w:val="es-CO"/>
        </w:rPr>
      </w:pPr>
      <w:r w:rsidRPr="00C56531">
        <w:rPr>
          <w:rFonts w:ascii="Times New Roman" w:hAnsi="Times New Roman" w:cs="Times New Roman"/>
          <w:sz w:val="24"/>
          <w:szCs w:val="24"/>
          <w:lang w:val="es-CO"/>
        </w:rPr>
        <w:lastRenderedPageBreak/>
        <w:tab/>
        <w:t xml:space="preserve"> Ahora bien, otros </w:t>
      </w:r>
      <w:r w:rsidR="009152A7" w:rsidRPr="00C56531">
        <w:rPr>
          <w:rFonts w:ascii="Times New Roman" w:hAnsi="Times New Roman" w:cs="Times New Roman"/>
          <w:sz w:val="24"/>
          <w:szCs w:val="24"/>
          <w:lang w:val="es-CO"/>
        </w:rPr>
        <w:t xml:space="preserve">riesgos </w:t>
      </w:r>
      <w:r w:rsidRPr="00C56531">
        <w:rPr>
          <w:rFonts w:ascii="Times New Roman" w:hAnsi="Times New Roman" w:cs="Times New Roman"/>
          <w:sz w:val="24"/>
          <w:szCs w:val="24"/>
          <w:lang w:val="es-CO"/>
        </w:rPr>
        <w:t xml:space="preserve">que no se deben hacer a un lado son los </w:t>
      </w:r>
      <w:r w:rsidR="00127632" w:rsidRPr="00C56531">
        <w:rPr>
          <w:rFonts w:ascii="Times New Roman" w:hAnsi="Times New Roman" w:cs="Times New Roman"/>
          <w:sz w:val="24"/>
          <w:szCs w:val="24"/>
          <w:lang w:val="es-CO"/>
        </w:rPr>
        <w:t>asociados</w:t>
      </w:r>
      <w:r w:rsidRPr="00C56531">
        <w:rPr>
          <w:rFonts w:ascii="Times New Roman" w:hAnsi="Times New Roman" w:cs="Times New Roman"/>
          <w:sz w:val="24"/>
          <w:szCs w:val="24"/>
          <w:lang w:val="es-CO"/>
        </w:rPr>
        <w:t xml:space="preserve"> con los principios que rigen la contratación estatal en Colombia como la </w:t>
      </w:r>
      <w:r w:rsidR="009152A7" w:rsidRPr="00C56531">
        <w:rPr>
          <w:rFonts w:ascii="Times New Roman" w:hAnsi="Times New Roman" w:cs="Times New Roman"/>
          <w:sz w:val="24"/>
          <w:szCs w:val="24"/>
          <w:lang w:val="es-CO"/>
        </w:rPr>
        <w:t xml:space="preserve">transparencia, economía y responsabilidad durante cualquier etapa contractual, así como el uso indebido de la figura de urgencia manifiesta, que puede generar responsabilidades disciplinarias y penales. </w:t>
      </w:r>
    </w:p>
    <w:p w14:paraId="52CEFC0F" w14:textId="6B802622" w:rsidR="009152A7" w:rsidRPr="00C56531" w:rsidRDefault="00C56531" w:rsidP="009152A7">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sz w:val="24"/>
          <w:szCs w:val="24"/>
          <w:lang w:val="es-CO"/>
        </w:rPr>
        <w:tab/>
        <w:t>Frente a lo anterior, u</w:t>
      </w:r>
      <w:r w:rsidR="009152A7" w:rsidRPr="00C56531">
        <w:rPr>
          <w:rFonts w:ascii="Times New Roman" w:hAnsi="Times New Roman" w:cs="Times New Roman"/>
          <w:sz w:val="24"/>
          <w:szCs w:val="24"/>
          <w:lang w:val="es-CO"/>
        </w:rPr>
        <w:t xml:space="preserve">n ejemplo de las consecuencias del manejo desproporcionado de los fondos de contingencia lo constituye el caso de la concesión de la “Vía al Llano”, otorgada mediante contratación directa tras una licitación desierta. Este proyecto, a cargo de </w:t>
      </w:r>
      <w:proofErr w:type="spellStart"/>
      <w:r w:rsidR="009152A7" w:rsidRPr="00C56531">
        <w:rPr>
          <w:rFonts w:ascii="Times New Roman" w:hAnsi="Times New Roman" w:cs="Times New Roman"/>
          <w:sz w:val="24"/>
          <w:szCs w:val="24"/>
          <w:lang w:val="es-CO"/>
        </w:rPr>
        <w:t>Coviandes</w:t>
      </w:r>
      <w:proofErr w:type="spellEnd"/>
      <w:r w:rsidR="009152A7" w:rsidRPr="00C56531">
        <w:rPr>
          <w:rFonts w:ascii="Times New Roman" w:hAnsi="Times New Roman" w:cs="Times New Roman"/>
          <w:sz w:val="24"/>
          <w:szCs w:val="24"/>
          <w:lang w:val="es-CO"/>
        </w:rPr>
        <w:t>, estuvo marcado por múltiples modificaciones contractuales, prórrogas y cambios en su objeto, debido a factores como derrumbes, lluvias e inestabilidad del terreno, sin que se aplicaran sanciones proporcionales a los incumplimientos evidenciados.</w:t>
      </w:r>
    </w:p>
    <w:p w14:paraId="69A8A1FD" w14:textId="2E43E821" w:rsidR="009152A7" w:rsidRDefault="00C56531" w:rsidP="009152A7">
      <w:pPr>
        <w:tabs>
          <w:tab w:val="num" w:pos="720"/>
        </w:tabs>
        <w:spacing w:after="120" w:line="480" w:lineRule="auto"/>
        <w:jc w:val="both"/>
        <w:rPr>
          <w:rFonts w:ascii="Times New Roman" w:hAnsi="Times New Roman" w:cs="Times New Roman"/>
          <w:sz w:val="24"/>
          <w:szCs w:val="24"/>
          <w:lang w:val="es-CO"/>
        </w:rPr>
      </w:pPr>
      <w:r w:rsidRPr="00C56531">
        <w:rPr>
          <w:rFonts w:ascii="Times New Roman" w:hAnsi="Times New Roman" w:cs="Times New Roman"/>
          <w:sz w:val="24"/>
          <w:szCs w:val="24"/>
          <w:lang w:val="es-CO"/>
        </w:rPr>
        <w:tab/>
      </w:r>
      <w:r w:rsidR="009152A7" w:rsidRPr="00C56531">
        <w:rPr>
          <w:rFonts w:ascii="Times New Roman" w:hAnsi="Times New Roman" w:cs="Times New Roman"/>
          <w:sz w:val="24"/>
          <w:szCs w:val="24"/>
          <w:lang w:val="es-CO"/>
        </w:rPr>
        <w:t>Lo anterior plantea interrogantes sobre la permisividad en el uso de la discrecionalidad administrativa frente a los fondos de contingencia y sobre la conveniencia de que el legislador, mediante una ley ordinaria, otorgue facultades tan amplias a las autoridades para modificar directamente sus presupuestos con ocasión de una urgencia manifiesta.</w:t>
      </w:r>
    </w:p>
    <w:p w14:paraId="20141812" w14:textId="2E483DBB" w:rsidR="00C56531" w:rsidRDefault="00C56531" w:rsidP="009152A7">
      <w:pPr>
        <w:tabs>
          <w:tab w:val="num" w:pos="720"/>
        </w:tabs>
        <w:spacing w:after="120" w:line="480" w:lineRule="auto"/>
        <w:jc w:val="both"/>
        <w:rPr>
          <w:rFonts w:ascii="Times New Roman" w:hAnsi="Times New Roman" w:cs="Times New Roman"/>
          <w:sz w:val="24"/>
          <w:szCs w:val="24"/>
          <w:lang w:val="es-ES"/>
        </w:rPr>
      </w:pPr>
      <w:r>
        <w:rPr>
          <w:rFonts w:ascii="Times New Roman" w:hAnsi="Times New Roman" w:cs="Times New Roman"/>
          <w:sz w:val="24"/>
          <w:szCs w:val="24"/>
          <w:lang w:val="es-CO"/>
        </w:rPr>
        <w:tab/>
        <w:t xml:space="preserve">Una vez identificados algunos </w:t>
      </w:r>
      <w:r w:rsidRPr="00C56531">
        <w:rPr>
          <w:rFonts w:ascii="Times New Roman" w:hAnsi="Times New Roman" w:cs="Times New Roman"/>
          <w:sz w:val="24"/>
          <w:szCs w:val="24"/>
          <w:lang w:val="es-CO"/>
        </w:rPr>
        <w:t>riesgos</w:t>
      </w:r>
      <w:r w:rsidRPr="00C56531">
        <w:rPr>
          <w:rFonts w:ascii="Times New Roman" w:hAnsi="Times New Roman" w:cs="Times New Roman"/>
          <w:sz w:val="24"/>
          <w:szCs w:val="24"/>
          <w:lang w:val="es-ES"/>
        </w:rPr>
        <w:t xml:space="preserve"> </w:t>
      </w:r>
      <w:bookmarkStart w:id="6" w:name="_Hlk211275225"/>
      <w:r w:rsidRPr="00C56531">
        <w:rPr>
          <w:rFonts w:ascii="Times New Roman" w:hAnsi="Times New Roman" w:cs="Times New Roman"/>
          <w:sz w:val="24"/>
          <w:szCs w:val="24"/>
          <w:lang w:val="es-ES"/>
        </w:rPr>
        <w:t>que surgen de la suscripción de contrataos estatales en casos de urgencia manifiesta con relación al principio de la selección objetiva</w:t>
      </w:r>
      <w:bookmarkEnd w:id="6"/>
      <w:r>
        <w:rPr>
          <w:rFonts w:ascii="Times New Roman" w:hAnsi="Times New Roman" w:cs="Times New Roman"/>
          <w:sz w:val="24"/>
          <w:szCs w:val="24"/>
          <w:lang w:val="es-ES"/>
        </w:rPr>
        <w:t>, atendiendo lo enunciado en el titulo del presente capitulo, es preciso abordar igualmente los beneficios que se deprenden de la suscrición de dicha modalidad de contratación.</w:t>
      </w:r>
    </w:p>
    <w:p w14:paraId="0F2CF70A" w14:textId="61610DB3" w:rsidR="00866517" w:rsidRDefault="00C56531" w:rsidP="0002063E">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lang w:val="es-ES"/>
        </w:rPr>
        <w:tab/>
        <w:t xml:space="preserve">En ese orden de ideas, </w:t>
      </w:r>
      <w:r w:rsidR="0002063E">
        <w:rPr>
          <w:rFonts w:ascii="Times New Roman" w:hAnsi="Times New Roman" w:cs="Times New Roman"/>
          <w:sz w:val="24"/>
          <w:szCs w:val="24"/>
          <w:lang w:val="es-ES"/>
        </w:rPr>
        <w:t xml:space="preserve">es de resaltar que </w:t>
      </w:r>
      <w:r w:rsidR="0002063E">
        <w:rPr>
          <w:rFonts w:ascii="Times New Roman" w:hAnsi="Times New Roman" w:cs="Times New Roman"/>
          <w:sz w:val="24"/>
          <w:szCs w:val="24"/>
          <w:lang w:val="es-CO"/>
        </w:rPr>
        <w:t>l</w:t>
      </w:r>
      <w:r w:rsidR="0002063E" w:rsidRPr="0002063E">
        <w:rPr>
          <w:rFonts w:ascii="Times New Roman" w:hAnsi="Times New Roman" w:cs="Times New Roman"/>
          <w:sz w:val="24"/>
          <w:szCs w:val="24"/>
          <w:lang w:val="es-CO"/>
        </w:rPr>
        <w:t xml:space="preserve">a figura de urgencia manifiesta en la contratación estatal colombiana opera como una excepción cuando concurren circunstancias que requieren una actuación rápida e inmediata de la administración pública. </w:t>
      </w:r>
      <w:r w:rsidR="00866517" w:rsidRPr="00866517">
        <w:rPr>
          <w:rFonts w:ascii="Times New Roman" w:hAnsi="Times New Roman" w:cs="Times New Roman"/>
          <w:sz w:val="24"/>
          <w:szCs w:val="24"/>
        </w:rPr>
        <w:t xml:space="preserve">Desde la perspectiva jurisprudencial, se </w:t>
      </w:r>
      <w:r w:rsidR="00866517" w:rsidRPr="00866517">
        <w:rPr>
          <w:rFonts w:ascii="Times New Roman" w:hAnsi="Times New Roman" w:cs="Times New Roman"/>
          <w:sz w:val="24"/>
          <w:szCs w:val="24"/>
        </w:rPr>
        <w:lastRenderedPageBreak/>
        <w:t xml:space="preserve">ha señalado que la urgencia manifiesta nace con el fin de preservar la continuidad del servicio público en situaciones donde la </w:t>
      </w:r>
      <w:r w:rsidR="00866517">
        <w:rPr>
          <w:rFonts w:ascii="Times New Roman" w:hAnsi="Times New Roman" w:cs="Times New Roman"/>
          <w:sz w:val="24"/>
          <w:szCs w:val="24"/>
        </w:rPr>
        <w:t>extensión de tiempos de las modalidades de contratación normales</w:t>
      </w:r>
      <w:r w:rsidR="00866517" w:rsidRPr="00866517">
        <w:rPr>
          <w:rFonts w:ascii="Times New Roman" w:hAnsi="Times New Roman" w:cs="Times New Roman"/>
          <w:sz w:val="24"/>
          <w:szCs w:val="24"/>
        </w:rPr>
        <w:t xml:space="preserve"> podría causar un perjuicio grave al interés público (C</w:t>
      </w:r>
      <w:r w:rsidR="00866517" w:rsidRPr="00866517">
        <w:rPr>
          <w:rFonts w:ascii="Times New Roman" w:hAnsi="Times New Roman" w:cs="Times New Roman"/>
          <w:sz w:val="24"/>
          <w:szCs w:val="24"/>
        </w:rPr>
        <w:noBreakHyphen/>
        <w:t>181/20 de la Corte Constitucional) y que la causal ha de interpretarse con criterios restrictivos, pues se trata de una excepción al principio general de selección objetiva (Consejo de Estado, conceptos de la ANCP, etc.).</w:t>
      </w:r>
    </w:p>
    <w:p w14:paraId="34215C2E" w14:textId="1EBE38FD" w:rsidR="00C56531" w:rsidRDefault="00866517" w:rsidP="009152A7">
      <w:pPr>
        <w:tabs>
          <w:tab w:val="num" w:pos="720"/>
        </w:tabs>
        <w:spacing w:after="120" w:line="480" w:lineRule="auto"/>
        <w:jc w:val="both"/>
        <w:rPr>
          <w:rFonts w:ascii="Times New Roman" w:hAnsi="Times New Roman" w:cs="Times New Roman"/>
          <w:sz w:val="24"/>
          <w:szCs w:val="24"/>
          <w:lang w:val="es-ES"/>
        </w:rPr>
      </w:pPr>
      <w:r>
        <w:rPr>
          <w:rFonts w:ascii="Times New Roman" w:hAnsi="Times New Roman" w:cs="Times New Roman"/>
          <w:sz w:val="24"/>
          <w:szCs w:val="24"/>
        </w:rPr>
        <w:tab/>
      </w:r>
      <w:r w:rsidR="00DE15DD">
        <w:rPr>
          <w:rFonts w:ascii="Times New Roman" w:hAnsi="Times New Roman" w:cs="Times New Roman"/>
          <w:sz w:val="24"/>
          <w:szCs w:val="24"/>
        </w:rPr>
        <w:t xml:space="preserve">A continuación, para mejor entendimiento del lector se realiza una tabla en la que se identifican los beneficios </w:t>
      </w:r>
      <w:r w:rsidR="00DE15DD" w:rsidRPr="00DE15DD">
        <w:rPr>
          <w:rFonts w:ascii="Times New Roman" w:hAnsi="Times New Roman" w:cs="Times New Roman"/>
          <w:sz w:val="24"/>
          <w:szCs w:val="24"/>
          <w:lang w:val="es-ES"/>
        </w:rPr>
        <w:t>que surgen de la suscripción de contrataos estatales en casos de urgencia manifiesta con relación al principio de la selección objetiva</w:t>
      </w:r>
      <w:r w:rsidR="00DE15DD">
        <w:rPr>
          <w:rFonts w:ascii="Times New Roman" w:hAnsi="Times New Roman" w:cs="Times New Roman"/>
          <w:sz w:val="24"/>
          <w:szCs w:val="24"/>
          <w:lang w:val="es-ES"/>
        </w:rPr>
        <w:t xml:space="preserve">, respaldada por su respectiva referencia bibliográfica. </w:t>
      </w:r>
    </w:p>
    <w:p w14:paraId="2AA1C4F5" w14:textId="24A4978F" w:rsidR="00DE15DD" w:rsidRPr="007F5EDC" w:rsidRDefault="00DE15DD" w:rsidP="00DE15DD">
      <w:pPr>
        <w:pStyle w:val="Descripcin"/>
        <w:rPr>
          <w:rFonts w:ascii="Times New Roman" w:hAnsi="Times New Roman" w:cs="Times New Roman"/>
          <w:b w:val="0"/>
          <w:bCs/>
          <w:sz w:val="24"/>
          <w:szCs w:val="24"/>
          <w:lang w:val="es-ES"/>
        </w:rPr>
      </w:pPr>
      <w:r w:rsidRPr="007F5EDC">
        <w:rPr>
          <w:rFonts w:ascii="Times New Roman" w:hAnsi="Times New Roman" w:cs="Times New Roman"/>
          <w:b w:val="0"/>
          <w:bCs/>
        </w:rPr>
        <w:t xml:space="preserve">Tabla </w:t>
      </w:r>
      <w:r w:rsidRPr="007F5EDC">
        <w:rPr>
          <w:rFonts w:ascii="Times New Roman" w:hAnsi="Times New Roman" w:cs="Times New Roman"/>
          <w:b w:val="0"/>
          <w:bCs/>
        </w:rPr>
        <w:fldChar w:fldCharType="begin"/>
      </w:r>
      <w:r w:rsidRPr="007F5EDC">
        <w:rPr>
          <w:rFonts w:ascii="Times New Roman" w:hAnsi="Times New Roman" w:cs="Times New Roman"/>
          <w:b w:val="0"/>
          <w:bCs/>
        </w:rPr>
        <w:instrText xml:space="preserve"> SEQ Tabla \* ARABIC </w:instrText>
      </w:r>
      <w:r w:rsidRPr="007F5EDC">
        <w:rPr>
          <w:rFonts w:ascii="Times New Roman" w:hAnsi="Times New Roman" w:cs="Times New Roman"/>
          <w:b w:val="0"/>
          <w:bCs/>
        </w:rPr>
        <w:fldChar w:fldCharType="separate"/>
      </w:r>
      <w:r w:rsidRPr="007F5EDC">
        <w:rPr>
          <w:rFonts w:ascii="Times New Roman" w:hAnsi="Times New Roman" w:cs="Times New Roman"/>
          <w:b w:val="0"/>
          <w:bCs/>
          <w:noProof/>
        </w:rPr>
        <w:t>2</w:t>
      </w:r>
      <w:r w:rsidRPr="007F5EDC">
        <w:rPr>
          <w:rFonts w:ascii="Times New Roman" w:hAnsi="Times New Roman" w:cs="Times New Roman"/>
          <w:b w:val="0"/>
          <w:bCs/>
        </w:rPr>
        <w:fldChar w:fldCharType="end"/>
      </w:r>
      <w:r w:rsidRPr="007F5EDC">
        <w:rPr>
          <w:rFonts w:ascii="Times New Roman" w:hAnsi="Times New Roman" w:cs="Times New Roman"/>
          <w:b w:val="0"/>
          <w:bCs/>
        </w:rPr>
        <w:t xml:space="preserve"> Beneficios de la suscripción de contratos estatales bajo urgencia manifiesta</w:t>
      </w:r>
    </w:p>
    <w:tbl>
      <w:tblPr>
        <w:tblW w:w="0" w:type="auto"/>
        <w:jc w:val="center"/>
        <w:tblCellSpacing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600"/>
        <w:gridCol w:w="3730"/>
        <w:gridCol w:w="3068"/>
      </w:tblGrid>
      <w:tr w:rsidR="00EF36A7" w:rsidRPr="00DE15DD" w14:paraId="2C6BEEC0" w14:textId="77777777" w:rsidTr="00DE15DD">
        <w:trPr>
          <w:tblHeader/>
          <w:tblCellSpacing w:w="15" w:type="dxa"/>
          <w:jc w:val="center"/>
        </w:trPr>
        <w:tc>
          <w:tcPr>
            <w:tcW w:w="0" w:type="auto"/>
            <w:vAlign w:val="center"/>
            <w:hideMark/>
          </w:tcPr>
          <w:p w14:paraId="74C4C53B" w14:textId="77777777" w:rsidR="00DE15DD" w:rsidRPr="00DE15DD" w:rsidRDefault="00DE15DD" w:rsidP="007F5EDC">
            <w:pPr>
              <w:spacing w:after="0" w:line="360" w:lineRule="auto"/>
              <w:jc w:val="center"/>
              <w:rPr>
                <w:rFonts w:ascii="Times New Roman" w:eastAsia="Times New Roman" w:hAnsi="Times New Roman" w:cs="Times New Roman"/>
                <w:b/>
                <w:bCs/>
                <w:sz w:val="24"/>
                <w:szCs w:val="24"/>
                <w:lang w:val="es-CO" w:eastAsia="es-CO"/>
              </w:rPr>
            </w:pPr>
            <w:r w:rsidRPr="00DE15DD">
              <w:rPr>
                <w:rFonts w:ascii="Times New Roman" w:eastAsia="Times New Roman" w:hAnsi="Times New Roman" w:cs="Times New Roman"/>
                <w:b/>
                <w:bCs/>
                <w:sz w:val="24"/>
                <w:szCs w:val="24"/>
                <w:lang w:val="es-CO" w:eastAsia="es-CO"/>
              </w:rPr>
              <w:t>Beneficio</w:t>
            </w:r>
          </w:p>
        </w:tc>
        <w:tc>
          <w:tcPr>
            <w:tcW w:w="0" w:type="auto"/>
            <w:vAlign w:val="center"/>
            <w:hideMark/>
          </w:tcPr>
          <w:p w14:paraId="3BCF6D82" w14:textId="77777777" w:rsidR="00DE15DD" w:rsidRPr="00DE15DD" w:rsidRDefault="00DE15DD" w:rsidP="007F5EDC">
            <w:pPr>
              <w:spacing w:after="0" w:line="360" w:lineRule="auto"/>
              <w:jc w:val="center"/>
              <w:rPr>
                <w:rFonts w:ascii="Times New Roman" w:eastAsia="Times New Roman" w:hAnsi="Times New Roman" w:cs="Times New Roman"/>
                <w:b/>
                <w:bCs/>
                <w:sz w:val="24"/>
                <w:szCs w:val="24"/>
                <w:lang w:val="es-CO" w:eastAsia="es-CO"/>
              </w:rPr>
            </w:pPr>
            <w:r w:rsidRPr="00DE15DD">
              <w:rPr>
                <w:rFonts w:ascii="Times New Roman" w:eastAsia="Times New Roman" w:hAnsi="Times New Roman" w:cs="Times New Roman"/>
                <w:b/>
                <w:bCs/>
                <w:sz w:val="24"/>
                <w:szCs w:val="24"/>
                <w:lang w:val="es-CO" w:eastAsia="es-CO"/>
              </w:rPr>
              <w:t>Descripción</w:t>
            </w:r>
          </w:p>
        </w:tc>
        <w:tc>
          <w:tcPr>
            <w:tcW w:w="0" w:type="auto"/>
            <w:vAlign w:val="center"/>
            <w:hideMark/>
          </w:tcPr>
          <w:p w14:paraId="1FA8DE7C" w14:textId="77777777" w:rsidR="00DE15DD" w:rsidRPr="00DE15DD" w:rsidRDefault="00DE15DD" w:rsidP="007F5EDC">
            <w:pPr>
              <w:spacing w:after="0" w:line="360" w:lineRule="auto"/>
              <w:jc w:val="center"/>
              <w:rPr>
                <w:rFonts w:ascii="Times New Roman" w:eastAsia="Times New Roman" w:hAnsi="Times New Roman" w:cs="Times New Roman"/>
                <w:b/>
                <w:bCs/>
                <w:sz w:val="24"/>
                <w:szCs w:val="24"/>
                <w:lang w:val="es-CO" w:eastAsia="es-CO"/>
              </w:rPr>
            </w:pPr>
            <w:r w:rsidRPr="00DE15DD">
              <w:rPr>
                <w:rFonts w:ascii="Times New Roman" w:eastAsia="Times New Roman" w:hAnsi="Times New Roman" w:cs="Times New Roman"/>
                <w:b/>
                <w:bCs/>
                <w:sz w:val="24"/>
                <w:szCs w:val="24"/>
                <w:lang w:val="es-CO" w:eastAsia="es-CO"/>
              </w:rPr>
              <w:t>Soporte normativo / doctrinal</w:t>
            </w:r>
          </w:p>
        </w:tc>
      </w:tr>
      <w:tr w:rsidR="00DE15DD" w:rsidRPr="00DE15DD" w14:paraId="090C7A35" w14:textId="77777777" w:rsidTr="00DE15DD">
        <w:trPr>
          <w:tblCellSpacing w:w="15" w:type="dxa"/>
          <w:jc w:val="center"/>
        </w:trPr>
        <w:tc>
          <w:tcPr>
            <w:tcW w:w="0" w:type="auto"/>
            <w:vAlign w:val="center"/>
            <w:hideMark/>
          </w:tcPr>
          <w:p w14:paraId="43B2FBF7"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t>Celeridad en la contratación</w:t>
            </w:r>
          </w:p>
        </w:tc>
        <w:tc>
          <w:tcPr>
            <w:tcW w:w="0" w:type="auto"/>
            <w:vAlign w:val="center"/>
            <w:hideMark/>
          </w:tcPr>
          <w:p w14:paraId="4478FFC2"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Permite contratar sin los trámites formales de los procesos licitatorios, favoreciendo una respuesta rápida ante calamidades, desastres o interrupciones de servicios esenciales.</w:t>
            </w:r>
          </w:p>
        </w:tc>
        <w:tc>
          <w:tcPr>
            <w:tcW w:w="0" w:type="auto"/>
            <w:vAlign w:val="center"/>
            <w:hideMark/>
          </w:tcPr>
          <w:p w14:paraId="70F884D3"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Mosquera Murillo, Olarte Velásquez &amp; Toro Sanabria (2015); Corte Constitucional, Sentencia C</w:t>
            </w:r>
            <w:r w:rsidRPr="00DE15DD">
              <w:rPr>
                <w:rFonts w:ascii="Times New Roman" w:eastAsia="Times New Roman" w:hAnsi="Times New Roman" w:cs="Times New Roman"/>
                <w:sz w:val="24"/>
                <w:szCs w:val="24"/>
                <w:lang w:val="es-CO" w:eastAsia="es-CO"/>
              </w:rPr>
              <w:noBreakHyphen/>
              <w:t>181/20</w:t>
            </w:r>
          </w:p>
        </w:tc>
      </w:tr>
      <w:tr w:rsidR="00DE15DD" w:rsidRPr="00DE15DD" w14:paraId="6572287F" w14:textId="77777777" w:rsidTr="00DE15DD">
        <w:trPr>
          <w:tblCellSpacing w:w="15" w:type="dxa"/>
          <w:jc w:val="center"/>
        </w:trPr>
        <w:tc>
          <w:tcPr>
            <w:tcW w:w="0" w:type="auto"/>
            <w:vAlign w:val="center"/>
            <w:hideMark/>
          </w:tcPr>
          <w:p w14:paraId="3EB8F7EE"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t>Flexibilidad y adaptación al contexto excepcional</w:t>
            </w:r>
          </w:p>
        </w:tc>
        <w:tc>
          <w:tcPr>
            <w:tcW w:w="0" w:type="auto"/>
            <w:vAlign w:val="center"/>
            <w:hideMark/>
          </w:tcPr>
          <w:p w14:paraId="590C3389"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La entidad puede ajustar el objeto contractual, condiciones y alcance según las necesidades urgentes del momento.</w:t>
            </w:r>
          </w:p>
        </w:tc>
        <w:tc>
          <w:tcPr>
            <w:tcW w:w="0" w:type="auto"/>
            <w:vAlign w:val="center"/>
            <w:hideMark/>
          </w:tcPr>
          <w:p w14:paraId="4421F2F3"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Mosquera Murillo et al. (2015)</w:t>
            </w:r>
          </w:p>
        </w:tc>
      </w:tr>
      <w:tr w:rsidR="00DE15DD" w:rsidRPr="00DE15DD" w14:paraId="14BAEE98" w14:textId="77777777" w:rsidTr="00DE15DD">
        <w:trPr>
          <w:tblCellSpacing w:w="15" w:type="dxa"/>
          <w:jc w:val="center"/>
        </w:trPr>
        <w:tc>
          <w:tcPr>
            <w:tcW w:w="0" w:type="auto"/>
            <w:vAlign w:val="center"/>
            <w:hideMark/>
          </w:tcPr>
          <w:p w14:paraId="67887045"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t>Preservación de la continuidad del servicio público</w:t>
            </w:r>
          </w:p>
        </w:tc>
        <w:tc>
          <w:tcPr>
            <w:tcW w:w="0" w:type="auto"/>
            <w:vAlign w:val="center"/>
            <w:hideMark/>
          </w:tcPr>
          <w:p w14:paraId="7847E2A0"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Evita la interrupción de servicios esenciales al permitir contrataciones inmediatas.</w:t>
            </w:r>
          </w:p>
        </w:tc>
        <w:tc>
          <w:tcPr>
            <w:tcW w:w="0" w:type="auto"/>
            <w:vAlign w:val="center"/>
            <w:hideMark/>
          </w:tcPr>
          <w:p w14:paraId="78CE12FA"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 xml:space="preserve">Consejo de Estado, Concepto Sala de Consulta C.E. 925 de </w:t>
            </w:r>
            <w:r w:rsidRPr="00DE15DD">
              <w:rPr>
                <w:rFonts w:ascii="Times New Roman" w:eastAsia="Times New Roman" w:hAnsi="Times New Roman" w:cs="Times New Roman"/>
                <w:sz w:val="24"/>
                <w:szCs w:val="24"/>
                <w:lang w:val="es-CO" w:eastAsia="es-CO"/>
              </w:rPr>
              <w:lastRenderedPageBreak/>
              <w:t>1996; Mosquera Murillo et al. (2015)</w:t>
            </w:r>
          </w:p>
        </w:tc>
      </w:tr>
      <w:tr w:rsidR="00DE15DD" w:rsidRPr="00DE15DD" w14:paraId="22E6EA07" w14:textId="77777777" w:rsidTr="00DE15DD">
        <w:trPr>
          <w:tblCellSpacing w:w="15" w:type="dxa"/>
          <w:jc w:val="center"/>
        </w:trPr>
        <w:tc>
          <w:tcPr>
            <w:tcW w:w="0" w:type="auto"/>
            <w:vAlign w:val="center"/>
            <w:hideMark/>
          </w:tcPr>
          <w:p w14:paraId="625FF4BD"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lastRenderedPageBreak/>
              <w:t>Menor formalismo documental</w:t>
            </w:r>
          </w:p>
        </w:tc>
        <w:tc>
          <w:tcPr>
            <w:tcW w:w="0" w:type="auto"/>
            <w:vAlign w:val="center"/>
            <w:hideMark/>
          </w:tcPr>
          <w:p w14:paraId="163CE75B"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No exige estudios previos complejos ni todas las garantías típicas, lo que agiliza el proceso.</w:t>
            </w:r>
          </w:p>
        </w:tc>
        <w:tc>
          <w:tcPr>
            <w:tcW w:w="0" w:type="auto"/>
            <w:vAlign w:val="center"/>
            <w:hideMark/>
          </w:tcPr>
          <w:p w14:paraId="398448BA"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Decreto 1082 de 2015, arts. 2.2.1.2.1.4.2 y 2.2.1.2.1.4.5</w:t>
            </w:r>
          </w:p>
        </w:tc>
      </w:tr>
      <w:tr w:rsidR="00DE15DD" w:rsidRPr="00DE15DD" w14:paraId="376453EE" w14:textId="77777777" w:rsidTr="00DE15DD">
        <w:trPr>
          <w:tblCellSpacing w:w="15" w:type="dxa"/>
          <w:jc w:val="center"/>
        </w:trPr>
        <w:tc>
          <w:tcPr>
            <w:tcW w:w="0" w:type="auto"/>
            <w:vAlign w:val="center"/>
            <w:hideMark/>
          </w:tcPr>
          <w:p w14:paraId="0FACDBF2"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t>Seguridad jurídica frente a la excepcionalidad</w:t>
            </w:r>
          </w:p>
        </w:tc>
        <w:tc>
          <w:tcPr>
            <w:tcW w:w="0" w:type="auto"/>
            <w:vAlign w:val="center"/>
            <w:hideMark/>
          </w:tcPr>
          <w:p w14:paraId="757E9EBD"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Ofrece un marco legal claro para excepcionar el proceso regular de selección, con controles administrativos posteriores.</w:t>
            </w:r>
          </w:p>
        </w:tc>
        <w:tc>
          <w:tcPr>
            <w:tcW w:w="0" w:type="auto"/>
            <w:vAlign w:val="center"/>
            <w:hideMark/>
          </w:tcPr>
          <w:p w14:paraId="159CB1F9"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Mosquera Murillo et al. (2015); control inmediato de legalidad por entes de control</w:t>
            </w:r>
          </w:p>
        </w:tc>
      </w:tr>
      <w:tr w:rsidR="00DE15DD" w:rsidRPr="00DE15DD" w14:paraId="3C4C3194" w14:textId="77777777" w:rsidTr="00DE15DD">
        <w:trPr>
          <w:tblCellSpacing w:w="15" w:type="dxa"/>
          <w:jc w:val="center"/>
        </w:trPr>
        <w:tc>
          <w:tcPr>
            <w:tcW w:w="0" w:type="auto"/>
            <w:vAlign w:val="center"/>
            <w:hideMark/>
          </w:tcPr>
          <w:p w14:paraId="1EF4AD53"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t>Protección del interés general</w:t>
            </w:r>
          </w:p>
        </w:tc>
        <w:tc>
          <w:tcPr>
            <w:tcW w:w="0" w:type="auto"/>
            <w:vAlign w:val="center"/>
            <w:hideMark/>
          </w:tcPr>
          <w:p w14:paraId="2BAA1727"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Permite actuar en defensa de derechos fundamentales y del bienestar colectivo cuando hay amenazas graves.</w:t>
            </w:r>
          </w:p>
        </w:tc>
        <w:tc>
          <w:tcPr>
            <w:tcW w:w="0" w:type="auto"/>
            <w:vAlign w:val="center"/>
            <w:hideMark/>
          </w:tcPr>
          <w:p w14:paraId="37471061"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ANCP, Concepto C</w:t>
            </w:r>
            <w:r w:rsidRPr="00DE15DD">
              <w:rPr>
                <w:rFonts w:ascii="Times New Roman" w:eastAsia="Times New Roman" w:hAnsi="Times New Roman" w:cs="Times New Roman"/>
                <w:sz w:val="24"/>
                <w:szCs w:val="24"/>
                <w:lang w:val="es-CO" w:eastAsia="es-CO"/>
              </w:rPr>
              <w:noBreakHyphen/>
              <w:t>287 de 2024</w:t>
            </w:r>
          </w:p>
        </w:tc>
      </w:tr>
      <w:tr w:rsidR="00DE15DD" w:rsidRPr="00DE15DD" w14:paraId="4B063AA5" w14:textId="77777777" w:rsidTr="00DE15DD">
        <w:trPr>
          <w:tblCellSpacing w:w="15" w:type="dxa"/>
          <w:jc w:val="center"/>
        </w:trPr>
        <w:tc>
          <w:tcPr>
            <w:tcW w:w="0" w:type="auto"/>
            <w:vAlign w:val="center"/>
            <w:hideMark/>
          </w:tcPr>
          <w:p w14:paraId="5216DA86"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b/>
                <w:bCs/>
                <w:sz w:val="24"/>
                <w:szCs w:val="24"/>
                <w:lang w:val="es-CO" w:eastAsia="es-CO"/>
              </w:rPr>
              <w:t>Perfeccionamiento consensual y fijación posterior del precio</w:t>
            </w:r>
          </w:p>
        </w:tc>
        <w:tc>
          <w:tcPr>
            <w:tcW w:w="0" w:type="auto"/>
            <w:vAlign w:val="center"/>
            <w:hideMark/>
          </w:tcPr>
          <w:p w14:paraId="51CA25C3"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Se permite celebrar el contrato por mutuo acuerdo y definir el precio más adelante si es necesario.</w:t>
            </w:r>
          </w:p>
        </w:tc>
        <w:tc>
          <w:tcPr>
            <w:tcW w:w="0" w:type="auto"/>
            <w:vAlign w:val="center"/>
            <w:hideMark/>
          </w:tcPr>
          <w:p w14:paraId="531796EF" w14:textId="77777777" w:rsidR="00DE15DD" w:rsidRPr="00DE15DD" w:rsidRDefault="00DE15DD" w:rsidP="007F5EDC">
            <w:pPr>
              <w:spacing w:after="0" w:line="360" w:lineRule="auto"/>
              <w:jc w:val="center"/>
              <w:rPr>
                <w:rFonts w:ascii="Times New Roman" w:eastAsia="Times New Roman" w:hAnsi="Times New Roman" w:cs="Times New Roman"/>
                <w:sz w:val="24"/>
                <w:szCs w:val="24"/>
                <w:lang w:val="es-CO" w:eastAsia="es-CO"/>
              </w:rPr>
            </w:pPr>
            <w:r w:rsidRPr="00DE15DD">
              <w:rPr>
                <w:rFonts w:ascii="Times New Roman" w:eastAsia="Times New Roman" w:hAnsi="Times New Roman" w:cs="Times New Roman"/>
                <w:sz w:val="24"/>
                <w:szCs w:val="24"/>
                <w:lang w:val="es-CO" w:eastAsia="es-CO"/>
              </w:rPr>
              <w:t>Ley 80 de 1993, art. 41 (incisos 4 y 5)</w:t>
            </w:r>
          </w:p>
        </w:tc>
      </w:tr>
    </w:tbl>
    <w:p w14:paraId="02B9F175" w14:textId="77777777" w:rsidR="00DE15DD" w:rsidRPr="00D30D37" w:rsidRDefault="00DE15DD" w:rsidP="00DE15DD">
      <w:pPr>
        <w:tabs>
          <w:tab w:val="num" w:pos="720"/>
        </w:tabs>
        <w:spacing w:after="120" w:line="480" w:lineRule="auto"/>
        <w:jc w:val="center"/>
        <w:rPr>
          <w:rFonts w:ascii="Times New Roman" w:hAnsi="Times New Roman" w:cs="Times New Roman"/>
          <w:sz w:val="20"/>
          <w:szCs w:val="20"/>
          <w:lang w:val="es-CO"/>
        </w:rPr>
      </w:pPr>
      <w:r w:rsidRPr="00D30D37">
        <w:rPr>
          <w:rFonts w:ascii="Times New Roman" w:hAnsi="Times New Roman" w:cs="Times New Roman"/>
          <w:sz w:val="20"/>
          <w:szCs w:val="20"/>
          <w:lang w:val="es-CO"/>
        </w:rPr>
        <w:t>Elaboración propia (2025)</w:t>
      </w:r>
    </w:p>
    <w:p w14:paraId="46C7BEBE" w14:textId="77777777" w:rsidR="005245A9" w:rsidRDefault="005245A9" w:rsidP="005245A9">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lang w:val="es-ES"/>
        </w:rPr>
        <w:tab/>
        <w:t xml:space="preserve">Teniendo en cuenta lo anterior, </w:t>
      </w:r>
      <w:r>
        <w:rPr>
          <w:rFonts w:ascii="Times New Roman" w:hAnsi="Times New Roman" w:cs="Times New Roman"/>
          <w:sz w:val="24"/>
          <w:szCs w:val="24"/>
        </w:rPr>
        <w:t>l</w:t>
      </w:r>
      <w:r w:rsidRPr="005245A9">
        <w:rPr>
          <w:rFonts w:ascii="Times New Roman" w:hAnsi="Times New Roman" w:cs="Times New Roman"/>
          <w:sz w:val="24"/>
          <w:szCs w:val="24"/>
        </w:rPr>
        <w:t xml:space="preserve">a contratación por urgencia manifiesta permite actuar con rapidez ante situaciones críticas, pero su uso requiere cuidado. Para que sus beneficios sean válidos, debe haber una situación concreta y comprobable, sustentada en un acto administrativo motivado. </w:t>
      </w:r>
    </w:p>
    <w:p w14:paraId="14F44A3B" w14:textId="53DC01DB" w:rsidR="003334CE" w:rsidRPr="005245A9" w:rsidRDefault="005245A9" w:rsidP="00A255D8">
      <w:pPr>
        <w:tabs>
          <w:tab w:val="num" w:pos="720"/>
        </w:tabs>
        <w:spacing w:after="120" w:line="480" w:lineRule="auto"/>
        <w:jc w:val="both"/>
        <w:rPr>
          <w:rFonts w:ascii="Times New Roman" w:hAnsi="Times New Roman" w:cs="Times New Roman"/>
          <w:sz w:val="24"/>
          <w:szCs w:val="24"/>
          <w:lang w:val="es-ES"/>
        </w:rPr>
      </w:pPr>
      <w:r>
        <w:rPr>
          <w:rFonts w:ascii="Times New Roman" w:hAnsi="Times New Roman" w:cs="Times New Roman"/>
          <w:sz w:val="24"/>
          <w:szCs w:val="24"/>
        </w:rPr>
        <w:tab/>
      </w:r>
      <w:r w:rsidRPr="005245A9">
        <w:rPr>
          <w:rFonts w:ascii="Times New Roman" w:hAnsi="Times New Roman" w:cs="Times New Roman"/>
          <w:sz w:val="24"/>
          <w:szCs w:val="24"/>
        </w:rPr>
        <w:t xml:space="preserve">El contrato debe limitarse a lo estrictamente necesario, sin extender la urgencia más allá del tiempo justificado. Aunque se flexibilicen algunos requisitos, como los estudios previos o ciertas </w:t>
      </w:r>
      <w:r w:rsidRPr="005245A9">
        <w:rPr>
          <w:rFonts w:ascii="Times New Roman" w:hAnsi="Times New Roman" w:cs="Times New Roman"/>
          <w:sz w:val="24"/>
          <w:szCs w:val="24"/>
        </w:rPr>
        <w:lastRenderedPageBreak/>
        <w:t xml:space="preserve">garantías, esto debe estar bien </w:t>
      </w:r>
      <w:r>
        <w:rPr>
          <w:rFonts w:ascii="Times New Roman" w:hAnsi="Times New Roman" w:cs="Times New Roman"/>
          <w:sz w:val="24"/>
          <w:szCs w:val="24"/>
        </w:rPr>
        <w:t>sustentado</w:t>
      </w:r>
      <w:r w:rsidRPr="005245A9">
        <w:rPr>
          <w:rFonts w:ascii="Times New Roman" w:hAnsi="Times New Roman" w:cs="Times New Roman"/>
          <w:sz w:val="24"/>
          <w:szCs w:val="24"/>
        </w:rPr>
        <w:t xml:space="preserve">. Además, </w:t>
      </w:r>
      <w:r>
        <w:rPr>
          <w:rFonts w:ascii="Times New Roman" w:hAnsi="Times New Roman" w:cs="Times New Roman"/>
          <w:sz w:val="24"/>
          <w:szCs w:val="24"/>
        </w:rPr>
        <w:t>no deben desconocerse</w:t>
      </w:r>
      <w:r w:rsidRPr="005245A9">
        <w:rPr>
          <w:rFonts w:ascii="Times New Roman" w:hAnsi="Times New Roman" w:cs="Times New Roman"/>
          <w:sz w:val="24"/>
          <w:szCs w:val="24"/>
        </w:rPr>
        <w:t xml:space="preserve"> principios como la transparencia y la selección objetiva, así como los controles legales y fiscales. </w:t>
      </w:r>
      <w:r w:rsidR="003334CE">
        <w:rPr>
          <w:rFonts w:ascii="Times New Roman" w:hAnsi="Times New Roman" w:cs="Times New Roman"/>
          <w:sz w:val="24"/>
          <w:szCs w:val="24"/>
        </w:rPr>
        <w:tab/>
      </w:r>
    </w:p>
    <w:p w14:paraId="429A758E" w14:textId="47A65535" w:rsidR="00E123DA" w:rsidRDefault="00E123DA" w:rsidP="00E123DA">
      <w:pPr>
        <w:pStyle w:val="Prrafodelista"/>
        <w:numPr>
          <w:ilvl w:val="1"/>
          <w:numId w:val="34"/>
        </w:numPr>
        <w:tabs>
          <w:tab w:val="num" w:pos="720"/>
        </w:tabs>
        <w:spacing w:after="120" w:line="480" w:lineRule="auto"/>
        <w:jc w:val="both"/>
        <w:rPr>
          <w:rFonts w:ascii="Times New Roman" w:hAnsi="Times New Roman" w:cs="Times New Roman"/>
          <w:b/>
          <w:bCs/>
          <w:sz w:val="24"/>
          <w:szCs w:val="24"/>
        </w:rPr>
      </w:pPr>
      <w:r w:rsidRPr="00E123DA">
        <w:rPr>
          <w:rFonts w:ascii="Times New Roman" w:hAnsi="Times New Roman" w:cs="Times New Roman"/>
          <w:b/>
          <w:bCs/>
          <w:sz w:val="24"/>
          <w:szCs w:val="24"/>
        </w:rPr>
        <w:t>Postura del Consejo de Estado en algunos casos en los cuales se aplicó la causal de urgencia manifiesta</w:t>
      </w:r>
      <w:r>
        <w:rPr>
          <w:rFonts w:ascii="Times New Roman" w:hAnsi="Times New Roman" w:cs="Times New Roman"/>
          <w:b/>
          <w:bCs/>
          <w:sz w:val="24"/>
          <w:szCs w:val="24"/>
        </w:rPr>
        <w:t>.</w:t>
      </w:r>
    </w:p>
    <w:p w14:paraId="0064CE8B" w14:textId="6439F753" w:rsidR="00E123DA" w:rsidRPr="009F5979" w:rsidRDefault="00E123DA" w:rsidP="00E123DA">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b/>
          <w:bCs/>
          <w:sz w:val="24"/>
          <w:szCs w:val="24"/>
        </w:rPr>
        <w:tab/>
      </w:r>
      <w:r w:rsidR="001B76C4" w:rsidRPr="009F5979">
        <w:rPr>
          <w:rFonts w:ascii="Times New Roman" w:hAnsi="Times New Roman" w:cs="Times New Roman"/>
          <w:sz w:val="24"/>
          <w:szCs w:val="24"/>
        </w:rPr>
        <w:t xml:space="preserve">La causal de urgencia manifiesta, contemplada en el artículo 42 de la Ley 80 de 1993, </w:t>
      </w:r>
      <w:r w:rsidR="00E96543" w:rsidRPr="009F5979">
        <w:rPr>
          <w:rFonts w:ascii="Times New Roman" w:hAnsi="Times New Roman" w:cs="Times New Roman"/>
          <w:sz w:val="24"/>
          <w:szCs w:val="24"/>
        </w:rPr>
        <w:t xml:space="preserve">como ya se ha desarrollado anteriormente, </w:t>
      </w:r>
      <w:r w:rsidR="001B76C4" w:rsidRPr="009F5979">
        <w:rPr>
          <w:rFonts w:ascii="Times New Roman" w:hAnsi="Times New Roman" w:cs="Times New Roman"/>
          <w:sz w:val="24"/>
          <w:szCs w:val="24"/>
        </w:rPr>
        <w:t>permite a las entidades estatales contratar de manera directa en situaciones excepcionales que exigen una respuesta inmediata del Estado. No obstante, su aplicación no está exenta de control. El Consejo de Estado ha sido enfático en establecer límites jurídicos claros para evitar desviaciones o abusos en el uso de esta figura. A continuación, se analizan cuatro pronunciamientos relevantes que ilustran cómo ha abordado esta alta corte la legalidad, validez y aplicación práctica de esta causal.</w:t>
      </w:r>
    </w:p>
    <w:p w14:paraId="7AAE77C3" w14:textId="64337C37" w:rsidR="00F60F8E" w:rsidRPr="009F5979" w:rsidRDefault="00B32E13" w:rsidP="00F60F8E">
      <w:pPr>
        <w:tabs>
          <w:tab w:val="num" w:pos="720"/>
        </w:tabs>
        <w:spacing w:after="120" w:line="480" w:lineRule="auto"/>
        <w:jc w:val="both"/>
        <w:rPr>
          <w:rFonts w:ascii="Times New Roman" w:hAnsi="Times New Roman" w:cs="Times New Roman"/>
          <w:sz w:val="24"/>
          <w:szCs w:val="24"/>
          <w:lang w:val="es-CO"/>
        </w:rPr>
      </w:pPr>
      <w:r w:rsidRPr="009F5979">
        <w:rPr>
          <w:rFonts w:ascii="Times New Roman" w:hAnsi="Times New Roman" w:cs="Times New Roman"/>
          <w:sz w:val="24"/>
          <w:szCs w:val="24"/>
        </w:rPr>
        <w:tab/>
        <w:t xml:space="preserve">En ese sentido, se tiene que </w:t>
      </w:r>
      <w:r w:rsidR="00F60F8E" w:rsidRPr="009F5979">
        <w:rPr>
          <w:rFonts w:ascii="Times New Roman" w:hAnsi="Times New Roman" w:cs="Times New Roman"/>
          <w:sz w:val="24"/>
          <w:szCs w:val="24"/>
        </w:rPr>
        <w:t xml:space="preserve">en </w:t>
      </w:r>
      <w:r w:rsidR="00F60F8E" w:rsidRPr="009F5979">
        <w:rPr>
          <w:rFonts w:ascii="Times New Roman" w:hAnsi="Times New Roman" w:cs="Times New Roman"/>
          <w:sz w:val="24"/>
          <w:szCs w:val="24"/>
          <w:lang w:val="es-CO"/>
        </w:rPr>
        <w:t>Sentencia del 27 de abril de 2006 (Rad. 14275)</w:t>
      </w:r>
      <w:r w:rsidR="00F60F8E" w:rsidRPr="009F5979">
        <w:rPr>
          <w:rFonts w:ascii="Times New Roman" w:hAnsi="Times New Roman" w:cs="Times New Roman"/>
          <w:b/>
          <w:bCs/>
          <w:sz w:val="24"/>
          <w:szCs w:val="24"/>
          <w:lang w:val="es-CO"/>
        </w:rPr>
        <w:t xml:space="preserve"> </w:t>
      </w:r>
      <w:r w:rsidR="00F60F8E" w:rsidRPr="00F60F8E">
        <w:rPr>
          <w:rFonts w:ascii="Times New Roman" w:hAnsi="Times New Roman" w:cs="Times New Roman"/>
          <w:sz w:val="24"/>
          <w:szCs w:val="24"/>
          <w:lang w:val="es-CO"/>
        </w:rPr>
        <w:t>el Consejo de Estado estudió una declaratoria de urgencia manifiesta en la cual la entidad contratante demoró en exceso la suscripción del contrato luego de dicha declaración. Además, el acto administrativo no justificaba de manera concreta la existencia de la urgencia. La Sala anuló el contrato, indicando que la urgencia no puede ser usada como una vía ordinaria ni excusa para omitir los principios de planeación y selección objetiva. La sentencia estableció que la urgencia debe estar soportada en hechos actuales, objetivos y verificables, y que la contratación debe realizarse de forma inmediata una vez declarada la urgencia (Consejo de Estado, Sentencia 14275, 2006).</w:t>
      </w:r>
    </w:p>
    <w:p w14:paraId="48B9041F" w14:textId="4ECC039A" w:rsidR="00F60F8E" w:rsidRPr="009F5979" w:rsidRDefault="00F60F8E" w:rsidP="00F60F8E">
      <w:pPr>
        <w:tabs>
          <w:tab w:val="num" w:pos="720"/>
        </w:tabs>
        <w:spacing w:after="120" w:line="480" w:lineRule="auto"/>
        <w:jc w:val="both"/>
        <w:rPr>
          <w:rFonts w:ascii="Times New Roman" w:hAnsi="Times New Roman" w:cs="Times New Roman"/>
          <w:sz w:val="24"/>
          <w:szCs w:val="24"/>
        </w:rPr>
      </w:pPr>
      <w:r w:rsidRPr="009F5979">
        <w:rPr>
          <w:rFonts w:ascii="Times New Roman" w:hAnsi="Times New Roman" w:cs="Times New Roman"/>
          <w:sz w:val="24"/>
          <w:szCs w:val="24"/>
          <w:lang w:val="es-CO"/>
        </w:rPr>
        <w:tab/>
      </w:r>
      <w:r w:rsidR="00BC3A16" w:rsidRPr="009F5979">
        <w:rPr>
          <w:rFonts w:ascii="Times New Roman" w:hAnsi="Times New Roman" w:cs="Times New Roman"/>
          <w:sz w:val="24"/>
          <w:szCs w:val="24"/>
          <w:lang w:val="es-CO"/>
        </w:rPr>
        <w:t xml:space="preserve">De acuerdo con el anterior pronunciamiento, se evidencia como </w:t>
      </w:r>
      <w:r w:rsidR="00BC3A16" w:rsidRPr="009F5979">
        <w:rPr>
          <w:rFonts w:ascii="Times New Roman" w:hAnsi="Times New Roman" w:cs="Times New Roman"/>
          <w:sz w:val="24"/>
          <w:szCs w:val="24"/>
        </w:rPr>
        <w:t xml:space="preserve">el Consejo de Estado no acepta la urgencia manifiesta como una “excusa genérica” para contratar sin los procedimientos </w:t>
      </w:r>
      <w:r w:rsidR="00BC3A16" w:rsidRPr="009F5979">
        <w:rPr>
          <w:rFonts w:ascii="Times New Roman" w:hAnsi="Times New Roman" w:cs="Times New Roman"/>
          <w:sz w:val="24"/>
          <w:szCs w:val="24"/>
        </w:rPr>
        <w:lastRenderedPageBreak/>
        <w:t>normales que comúnmente se manejan en las otras modalidades de contratación, así mismo, dentro de su contenido se logra identificar como les exige a las entidades públicas ser rigurosas en la motivación y actuar con inmediatez real, no solo declarada. Es decir, el concepto de urgencia no puede servir para justificar omisiones administrativas previas o demoras injustificadas. El Consejo envía un mensaje claro, la urgencia debe ser objetiva, verificable y proporcional.</w:t>
      </w:r>
    </w:p>
    <w:p w14:paraId="04A911C2" w14:textId="064396C8" w:rsidR="00BC3A16" w:rsidRDefault="00BC3A16" w:rsidP="00F60F8E">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Por otro </w:t>
      </w:r>
      <w:r w:rsidR="00356B3D">
        <w:rPr>
          <w:rFonts w:ascii="Times New Roman" w:hAnsi="Times New Roman" w:cs="Times New Roman"/>
          <w:sz w:val="24"/>
          <w:szCs w:val="24"/>
        </w:rPr>
        <w:t>lado,</w:t>
      </w:r>
      <w:r>
        <w:rPr>
          <w:rFonts w:ascii="Times New Roman" w:hAnsi="Times New Roman" w:cs="Times New Roman"/>
          <w:sz w:val="24"/>
          <w:szCs w:val="24"/>
        </w:rPr>
        <w:t xml:space="preserve"> se </w:t>
      </w:r>
      <w:r w:rsidR="00356B3D">
        <w:rPr>
          <w:rFonts w:ascii="Times New Roman" w:hAnsi="Times New Roman" w:cs="Times New Roman"/>
          <w:sz w:val="24"/>
          <w:szCs w:val="24"/>
        </w:rPr>
        <w:t xml:space="preserve">tiene que con </w:t>
      </w:r>
      <w:r>
        <w:rPr>
          <w:rFonts w:ascii="Times New Roman" w:hAnsi="Times New Roman" w:cs="Times New Roman"/>
          <w:sz w:val="24"/>
          <w:szCs w:val="24"/>
        </w:rPr>
        <w:t>la</w:t>
      </w:r>
      <w:r w:rsidR="00356B3D">
        <w:rPr>
          <w:rFonts w:ascii="Times New Roman" w:hAnsi="Times New Roman" w:cs="Times New Roman"/>
          <w:sz w:val="24"/>
          <w:szCs w:val="24"/>
        </w:rPr>
        <w:t xml:space="preserve"> expedición de la</w:t>
      </w:r>
      <w:r w:rsidRPr="00BC3A16">
        <w:rPr>
          <w:rFonts w:ascii="Times New Roman" w:hAnsi="Times New Roman" w:cs="Times New Roman"/>
          <w:sz w:val="24"/>
          <w:szCs w:val="24"/>
        </w:rPr>
        <w:t xml:space="preserve"> Resolución 2496 de 2020 (COVID</w:t>
      </w:r>
      <w:r w:rsidRPr="00BC3A16">
        <w:rPr>
          <w:rFonts w:ascii="Times New Roman" w:hAnsi="Times New Roman" w:cs="Times New Roman"/>
          <w:sz w:val="24"/>
          <w:szCs w:val="24"/>
        </w:rPr>
        <w:noBreakHyphen/>
        <w:t>19)</w:t>
      </w:r>
      <w:r>
        <w:rPr>
          <w:rFonts w:ascii="Times New Roman" w:hAnsi="Times New Roman" w:cs="Times New Roman"/>
          <w:sz w:val="24"/>
          <w:szCs w:val="24"/>
        </w:rPr>
        <w:t>,</w:t>
      </w:r>
      <w:r w:rsidR="00356B3D">
        <w:rPr>
          <w:rFonts w:ascii="Times New Roman" w:hAnsi="Times New Roman" w:cs="Times New Roman"/>
          <w:sz w:val="24"/>
          <w:szCs w:val="24"/>
        </w:rPr>
        <w:t xml:space="preserve"> el </w:t>
      </w:r>
      <w:r w:rsidR="00356B3D" w:rsidRPr="00356B3D">
        <w:rPr>
          <w:rFonts w:ascii="Times New Roman" w:hAnsi="Times New Roman" w:cs="Times New Roman"/>
          <w:sz w:val="24"/>
          <w:szCs w:val="24"/>
        </w:rPr>
        <w:t>ADRES declaró la urgencia manifiesta para agilizar procesos de contratación en el sector salud</w:t>
      </w:r>
      <w:r w:rsidR="00356B3D">
        <w:rPr>
          <w:rFonts w:ascii="Times New Roman" w:hAnsi="Times New Roman" w:cs="Times New Roman"/>
          <w:sz w:val="24"/>
          <w:szCs w:val="24"/>
        </w:rPr>
        <w:t>, frente a esto e</w:t>
      </w:r>
      <w:r w:rsidR="00356B3D" w:rsidRPr="00356B3D">
        <w:rPr>
          <w:rFonts w:ascii="Times New Roman" w:hAnsi="Times New Roman" w:cs="Times New Roman"/>
          <w:sz w:val="24"/>
          <w:szCs w:val="24"/>
        </w:rPr>
        <w:t>l Consejo de Estado, en ejercicio del control inmediato de legalidad, aceptó la necesidad del acto, pero recordó que incluso en contextos de emergencia deben respetarse los principios de legalidad y motivación. Aunque se reconoció un margen de actuación más amplio por la situación sanitaria, se exigió a la entidad demostrar la conexidad entre las medidas tomadas</w:t>
      </w:r>
      <w:r w:rsidR="00356B3D">
        <w:rPr>
          <w:rFonts w:ascii="Times New Roman" w:hAnsi="Times New Roman" w:cs="Times New Roman"/>
          <w:sz w:val="24"/>
          <w:szCs w:val="24"/>
        </w:rPr>
        <w:t xml:space="preserve"> </w:t>
      </w:r>
      <w:r w:rsidR="00356B3D" w:rsidRPr="00356B3D">
        <w:rPr>
          <w:rFonts w:ascii="Times New Roman" w:hAnsi="Times New Roman" w:cs="Times New Roman"/>
          <w:sz w:val="24"/>
          <w:szCs w:val="24"/>
        </w:rPr>
        <w:t>y los fines del estado de emergencia</w:t>
      </w:r>
      <w:r w:rsidR="00356B3D">
        <w:rPr>
          <w:rFonts w:ascii="Times New Roman" w:hAnsi="Times New Roman" w:cs="Times New Roman"/>
          <w:sz w:val="24"/>
          <w:szCs w:val="24"/>
        </w:rPr>
        <w:t xml:space="preserve"> </w:t>
      </w:r>
      <w:r w:rsidR="00356B3D" w:rsidRPr="00356B3D">
        <w:rPr>
          <w:rFonts w:ascii="Times New Roman" w:hAnsi="Times New Roman" w:cs="Times New Roman"/>
          <w:sz w:val="24"/>
          <w:szCs w:val="24"/>
        </w:rPr>
        <w:t>(Consejo de Estado, Expediente 11001</w:t>
      </w:r>
      <w:r w:rsidR="00356B3D" w:rsidRPr="00356B3D">
        <w:rPr>
          <w:rFonts w:ascii="Times New Roman" w:hAnsi="Times New Roman" w:cs="Times New Roman"/>
          <w:sz w:val="24"/>
          <w:szCs w:val="24"/>
        </w:rPr>
        <w:noBreakHyphen/>
        <w:t>03</w:t>
      </w:r>
      <w:r w:rsidR="00356B3D" w:rsidRPr="00356B3D">
        <w:rPr>
          <w:rFonts w:ascii="Times New Roman" w:hAnsi="Times New Roman" w:cs="Times New Roman"/>
          <w:sz w:val="24"/>
          <w:szCs w:val="24"/>
        </w:rPr>
        <w:noBreakHyphen/>
        <w:t>15</w:t>
      </w:r>
      <w:r w:rsidR="00356B3D" w:rsidRPr="00356B3D">
        <w:rPr>
          <w:rFonts w:ascii="Times New Roman" w:hAnsi="Times New Roman" w:cs="Times New Roman"/>
          <w:sz w:val="24"/>
          <w:szCs w:val="24"/>
        </w:rPr>
        <w:noBreakHyphen/>
        <w:t>000</w:t>
      </w:r>
      <w:r w:rsidR="00356B3D" w:rsidRPr="00356B3D">
        <w:rPr>
          <w:rFonts w:ascii="Times New Roman" w:hAnsi="Times New Roman" w:cs="Times New Roman"/>
          <w:sz w:val="24"/>
          <w:szCs w:val="24"/>
        </w:rPr>
        <w:noBreakHyphen/>
        <w:t>2020</w:t>
      </w:r>
      <w:r w:rsidR="00356B3D" w:rsidRPr="00356B3D">
        <w:rPr>
          <w:rFonts w:ascii="Times New Roman" w:hAnsi="Times New Roman" w:cs="Times New Roman"/>
          <w:sz w:val="24"/>
          <w:szCs w:val="24"/>
        </w:rPr>
        <w:noBreakHyphen/>
        <w:t>01805</w:t>
      </w:r>
      <w:r w:rsidR="00356B3D" w:rsidRPr="00356B3D">
        <w:rPr>
          <w:rFonts w:ascii="Times New Roman" w:hAnsi="Times New Roman" w:cs="Times New Roman"/>
          <w:sz w:val="24"/>
          <w:szCs w:val="24"/>
        </w:rPr>
        <w:noBreakHyphen/>
        <w:t>00, 2021).</w:t>
      </w:r>
    </w:p>
    <w:p w14:paraId="733ADBFD" w14:textId="14C0F9A0" w:rsidR="00356B3D" w:rsidRPr="002F12D4" w:rsidRDefault="00356B3D" w:rsidP="002F12D4">
      <w:pPr>
        <w:spacing w:line="480" w:lineRule="auto"/>
        <w:jc w:val="both"/>
        <w:rPr>
          <w:rFonts w:ascii="Times New Roman" w:hAnsi="Times New Roman" w:cs="Times New Roman"/>
          <w:sz w:val="24"/>
          <w:szCs w:val="24"/>
        </w:rPr>
      </w:pPr>
      <w:r>
        <w:tab/>
      </w:r>
      <w:r w:rsidRPr="002F12D4">
        <w:rPr>
          <w:rFonts w:ascii="Times New Roman" w:hAnsi="Times New Roman" w:cs="Times New Roman"/>
          <w:sz w:val="24"/>
          <w:szCs w:val="24"/>
        </w:rPr>
        <w:t>Frente a lo anterior, se logra evidenciar que el Consejo equilibra dos intereses clave, la necesidad de respuestas rápidas del Estado ante emergencias reales y el deber de respetar el marco jurídico. Reconoce que, en una pandemia, se deben flexibilizar ciertos aspectos, pero no se pierde el control judicial sobre la legalidad de los actos. Este caso resulta esencial porque valida el uso legítimo de la urgencia, siempre que exista trazabilidad y coherencia entre la necesidad y la contratación.</w:t>
      </w:r>
    </w:p>
    <w:p w14:paraId="75ADD1E6" w14:textId="15752AC6" w:rsidR="00356B3D" w:rsidRPr="002F12D4" w:rsidRDefault="00356B3D" w:rsidP="002F12D4">
      <w:pPr>
        <w:spacing w:line="480" w:lineRule="auto"/>
        <w:jc w:val="both"/>
        <w:rPr>
          <w:rFonts w:ascii="Times New Roman" w:hAnsi="Times New Roman" w:cs="Times New Roman"/>
          <w:sz w:val="24"/>
          <w:szCs w:val="24"/>
        </w:rPr>
      </w:pPr>
      <w:r w:rsidRPr="002F12D4">
        <w:rPr>
          <w:rFonts w:ascii="Times New Roman" w:hAnsi="Times New Roman" w:cs="Times New Roman"/>
          <w:sz w:val="24"/>
          <w:szCs w:val="24"/>
        </w:rPr>
        <w:tab/>
        <w:t>Asimismo, en</w:t>
      </w:r>
      <w:r w:rsidR="00C834FA" w:rsidRPr="002F12D4">
        <w:rPr>
          <w:rFonts w:ascii="Times New Roman" w:hAnsi="Times New Roman" w:cs="Times New Roman"/>
          <w:sz w:val="24"/>
          <w:szCs w:val="24"/>
        </w:rPr>
        <w:t xml:space="preserve"> Sentencia de la Sala Plena en contexto COVID</w:t>
      </w:r>
      <w:r w:rsidR="00C834FA" w:rsidRPr="002F12D4">
        <w:rPr>
          <w:rFonts w:ascii="Times New Roman" w:hAnsi="Times New Roman" w:cs="Times New Roman"/>
          <w:sz w:val="24"/>
          <w:szCs w:val="24"/>
        </w:rPr>
        <w:noBreakHyphen/>
        <w:t>19 (</w:t>
      </w:r>
      <w:proofErr w:type="spellStart"/>
      <w:r w:rsidR="00C834FA" w:rsidRPr="002F12D4">
        <w:rPr>
          <w:rFonts w:ascii="Times New Roman" w:hAnsi="Times New Roman" w:cs="Times New Roman"/>
          <w:sz w:val="24"/>
          <w:szCs w:val="24"/>
        </w:rPr>
        <w:t>Exp</w:t>
      </w:r>
      <w:proofErr w:type="spellEnd"/>
      <w:r w:rsidR="00C834FA" w:rsidRPr="002F12D4">
        <w:rPr>
          <w:rFonts w:ascii="Times New Roman" w:hAnsi="Times New Roman" w:cs="Times New Roman"/>
          <w:sz w:val="24"/>
          <w:szCs w:val="24"/>
        </w:rPr>
        <w:t>. 11001</w:t>
      </w:r>
      <w:r w:rsidR="00C834FA" w:rsidRPr="002F12D4">
        <w:rPr>
          <w:rFonts w:ascii="Times New Roman" w:hAnsi="Times New Roman" w:cs="Times New Roman"/>
          <w:sz w:val="24"/>
          <w:szCs w:val="24"/>
        </w:rPr>
        <w:noBreakHyphen/>
        <w:t>03</w:t>
      </w:r>
      <w:r w:rsidR="00C834FA" w:rsidRPr="002F12D4">
        <w:rPr>
          <w:rFonts w:ascii="Times New Roman" w:hAnsi="Times New Roman" w:cs="Times New Roman"/>
          <w:sz w:val="24"/>
          <w:szCs w:val="24"/>
        </w:rPr>
        <w:noBreakHyphen/>
        <w:t>15</w:t>
      </w:r>
      <w:r w:rsidR="00C834FA" w:rsidRPr="002F12D4">
        <w:rPr>
          <w:rFonts w:ascii="Times New Roman" w:hAnsi="Times New Roman" w:cs="Times New Roman"/>
          <w:sz w:val="24"/>
          <w:szCs w:val="24"/>
        </w:rPr>
        <w:noBreakHyphen/>
        <w:t>000</w:t>
      </w:r>
      <w:r w:rsidR="00C834FA" w:rsidRPr="002F12D4">
        <w:rPr>
          <w:rFonts w:ascii="Times New Roman" w:hAnsi="Times New Roman" w:cs="Times New Roman"/>
          <w:sz w:val="24"/>
          <w:szCs w:val="24"/>
        </w:rPr>
        <w:noBreakHyphen/>
        <w:t>2020</w:t>
      </w:r>
      <w:r w:rsidR="00C834FA" w:rsidRPr="002F12D4">
        <w:rPr>
          <w:rFonts w:ascii="Times New Roman" w:hAnsi="Times New Roman" w:cs="Times New Roman"/>
          <w:sz w:val="24"/>
          <w:szCs w:val="24"/>
        </w:rPr>
        <w:noBreakHyphen/>
        <w:t>01910</w:t>
      </w:r>
      <w:r w:rsidR="00C834FA" w:rsidRPr="002F12D4">
        <w:rPr>
          <w:rFonts w:ascii="Times New Roman" w:hAnsi="Times New Roman" w:cs="Times New Roman"/>
          <w:sz w:val="24"/>
          <w:szCs w:val="24"/>
        </w:rPr>
        <w:noBreakHyphen/>
        <w:t xml:space="preserve">00) </w:t>
      </w:r>
      <w:r w:rsidR="002F12D4" w:rsidRPr="002F12D4">
        <w:rPr>
          <w:rFonts w:ascii="Times New Roman" w:hAnsi="Times New Roman" w:cs="Times New Roman"/>
          <w:sz w:val="24"/>
          <w:szCs w:val="24"/>
        </w:rPr>
        <w:t xml:space="preserve">la Sala Plena analizó la legalidad de múltiples actos </w:t>
      </w:r>
      <w:r w:rsidR="002F12D4" w:rsidRPr="002F12D4">
        <w:rPr>
          <w:rFonts w:ascii="Times New Roman" w:hAnsi="Times New Roman" w:cs="Times New Roman"/>
          <w:sz w:val="24"/>
          <w:szCs w:val="24"/>
        </w:rPr>
        <w:lastRenderedPageBreak/>
        <w:t>contractuales realizados por contratación directa en el marco del estado de emergencia. El Consejo reiteró que, aunque el Decreto 417 de 2020 habilitó medidas excepcionales, no eximía a las entidades de cumplir con los requisitos de motivación, proporcionalidad y sujeción a los fines públicos. La corte subrayó que todo acto de urgencia manifiesta debe estar soportado en actos normativos válidos y tener una relación directa con la situación que se busca conjurar (Consejo de Estado, 2021).</w:t>
      </w:r>
    </w:p>
    <w:p w14:paraId="080921A0" w14:textId="21AB7185" w:rsidR="00356B3D" w:rsidRPr="00C834FA" w:rsidRDefault="00356B3D" w:rsidP="002F12D4">
      <w:pPr>
        <w:tabs>
          <w:tab w:val="num" w:pos="720"/>
        </w:tabs>
        <w:spacing w:after="120" w:line="480" w:lineRule="auto"/>
        <w:jc w:val="both"/>
        <w:rPr>
          <w:rFonts w:ascii="Times New Roman" w:hAnsi="Times New Roman" w:cs="Times New Roman"/>
          <w:sz w:val="24"/>
          <w:szCs w:val="24"/>
        </w:rPr>
      </w:pPr>
      <w:r w:rsidRPr="00C834FA">
        <w:rPr>
          <w:rFonts w:ascii="Times New Roman" w:hAnsi="Times New Roman" w:cs="Times New Roman"/>
          <w:sz w:val="24"/>
          <w:szCs w:val="24"/>
        </w:rPr>
        <w:tab/>
      </w:r>
      <w:r w:rsidR="00036C80">
        <w:rPr>
          <w:rFonts w:ascii="Times New Roman" w:hAnsi="Times New Roman" w:cs="Times New Roman"/>
          <w:sz w:val="24"/>
          <w:szCs w:val="24"/>
        </w:rPr>
        <w:t xml:space="preserve">En el anterior pronunciamiento, se nota como el Consejo de Estado </w:t>
      </w:r>
      <w:r w:rsidR="00036C80" w:rsidRPr="00036C80">
        <w:rPr>
          <w:rFonts w:ascii="Times New Roman" w:hAnsi="Times New Roman" w:cs="Times New Roman"/>
          <w:sz w:val="24"/>
          <w:szCs w:val="24"/>
        </w:rPr>
        <w:t>refuerza que la contratación directa por urgencia, incluso en escenarios excepcionales como una crisis sanitaria, no puede perder conexión con el orden normativo</w:t>
      </w:r>
      <w:r w:rsidR="00036C80">
        <w:rPr>
          <w:rFonts w:ascii="Times New Roman" w:hAnsi="Times New Roman" w:cs="Times New Roman"/>
          <w:sz w:val="24"/>
          <w:szCs w:val="24"/>
        </w:rPr>
        <w:t xml:space="preserve"> y se marcan </w:t>
      </w:r>
      <w:r w:rsidR="00036C80" w:rsidRPr="00036C80">
        <w:rPr>
          <w:rFonts w:ascii="Times New Roman" w:hAnsi="Times New Roman" w:cs="Times New Roman"/>
          <w:sz w:val="24"/>
          <w:szCs w:val="24"/>
        </w:rPr>
        <w:t>límites importantes</w:t>
      </w:r>
      <w:r w:rsidR="00036C80">
        <w:rPr>
          <w:rFonts w:ascii="Times New Roman" w:hAnsi="Times New Roman" w:cs="Times New Roman"/>
          <w:sz w:val="24"/>
          <w:szCs w:val="24"/>
        </w:rPr>
        <w:t xml:space="preserve">, pues </w:t>
      </w:r>
      <w:r w:rsidR="00036C80" w:rsidRPr="00036C80">
        <w:rPr>
          <w:rFonts w:ascii="Times New Roman" w:hAnsi="Times New Roman" w:cs="Times New Roman"/>
          <w:sz w:val="24"/>
          <w:szCs w:val="24"/>
        </w:rPr>
        <w:t>no basta con alegar que existe una emergencia, se requiere que el contrato tenga justificación específica, se relacione con medidas decretadas por la emergencia y no exceda su alcance. Es una advertencia contra la generalización y la discrecionalidad.</w:t>
      </w:r>
    </w:p>
    <w:p w14:paraId="69B3ECD6" w14:textId="1F2A1634" w:rsidR="009F5979" w:rsidRPr="009F5979" w:rsidRDefault="009F5979" w:rsidP="009F5979">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b/>
          <w:bCs/>
          <w:lang w:val="es-CO"/>
        </w:rPr>
        <w:tab/>
      </w:r>
      <w:r w:rsidRPr="009F5979">
        <w:rPr>
          <w:rFonts w:ascii="Times New Roman" w:hAnsi="Times New Roman" w:cs="Times New Roman"/>
          <w:sz w:val="24"/>
          <w:szCs w:val="24"/>
          <w:lang w:val="es-CO"/>
        </w:rPr>
        <w:t>Finalmente, en Sentencia 00229 de 2019 el Consejo abordó la competencia del funcionario que declara la urgencia y la validez de los motivos invocados. El Consejo de Estado declaró la nulidad del contrato por considerar que la persona que emitió la declaratoria no tenía la competencia legal para ello, y porque los hechos invocados no constituían una verdadera urgencia en los términos exigidos por la Ley 80 de 1993. Esta decisión enfatizó que no solo debe justificarse la urgencia, sino también respetar la estructura jerárquica y procedimental de la administración pública (Consejo de Estado, Fallo 00229 de 2019).</w:t>
      </w:r>
    </w:p>
    <w:p w14:paraId="617A12E0" w14:textId="2DEA52B8" w:rsidR="00316FA4" w:rsidRPr="00316FA4" w:rsidRDefault="00316FA4" w:rsidP="00316FA4">
      <w:pPr>
        <w:tabs>
          <w:tab w:val="num" w:pos="720"/>
        </w:tabs>
        <w:spacing w:after="120" w:line="480" w:lineRule="auto"/>
        <w:jc w:val="both"/>
        <w:rPr>
          <w:rFonts w:ascii="Times New Roman" w:hAnsi="Times New Roman" w:cs="Times New Roman"/>
          <w:sz w:val="24"/>
          <w:szCs w:val="24"/>
          <w:lang w:val="es-CO"/>
        </w:rPr>
      </w:pPr>
      <w:r>
        <w:rPr>
          <w:rFonts w:ascii="Times New Roman" w:hAnsi="Times New Roman" w:cs="Times New Roman"/>
          <w:lang w:val="es-CO"/>
        </w:rPr>
        <w:tab/>
      </w:r>
      <w:r w:rsidRPr="00316FA4">
        <w:rPr>
          <w:rFonts w:ascii="Times New Roman" w:hAnsi="Times New Roman" w:cs="Times New Roman"/>
          <w:sz w:val="24"/>
          <w:szCs w:val="24"/>
          <w:lang w:val="es-CO"/>
        </w:rPr>
        <w:t xml:space="preserve">De cara al anterior pronunciamiento, </w:t>
      </w:r>
      <w:r>
        <w:rPr>
          <w:rFonts w:ascii="Times New Roman" w:hAnsi="Times New Roman" w:cs="Times New Roman"/>
          <w:sz w:val="24"/>
          <w:szCs w:val="24"/>
          <w:lang w:val="es-CO"/>
        </w:rPr>
        <w:t>se r</w:t>
      </w:r>
      <w:r w:rsidRPr="00316FA4">
        <w:rPr>
          <w:rFonts w:ascii="Times New Roman" w:hAnsi="Times New Roman" w:cs="Times New Roman"/>
          <w:sz w:val="24"/>
          <w:szCs w:val="24"/>
          <w:lang w:val="es-CO"/>
        </w:rPr>
        <w:t>esalta un punto frecuentemente subestimado</w:t>
      </w:r>
      <w:r>
        <w:rPr>
          <w:rFonts w:ascii="Times New Roman" w:hAnsi="Times New Roman" w:cs="Times New Roman"/>
          <w:sz w:val="24"/>
          <w:szCs w:val="24"/>
          <w:lang w:val="es-CO"/>
        </w:rPr>
        <w:t>,</w:t>
      </w:r>
      <w:r w:rsidRPr="00316FA4">
        <w:rPr>
          <w:rFonts w:ascii="Times New Roman" w:hAnsi="Times New Roman" w:cs="Times New Roman"/>
          <w:sz w:val="24"/>
          <w:szCs w:val="24"/>
          <w:lang w:val="es-CO"/>
        </w:rPr>
        <w:t xml:space="preserve"> la competencia del funcionario que declara la urgencia</w:t>
      </w:r>
      <w:r>
        <w:rPr>
          <w:rFonts w:ascii="Times New Roman" w:hAnsi="Times New Roman" w:cs="Times New Roman"/>
          <w:sz w:val="24"/>
          <w:szCs w:val="24"/>
          <w:lang w:val="es-CO"/>
        </w:rPr>
        <w:t>; e</w:t>
      </w:r>
      <w:r w:rsidRPr="00316FA4">
        <w:rPr>
          <w:rFonts w:ascii="Times New Roman" w:hAnsi="Times New Roman" w:cs="Times New Roman"/>
          <w:sz w:val="24"/>
          <w:szCs w:val="24"/>
          <w:lang w:val="es-CO"/>
        </w:rPr>
        <w:t xml:space="preserve">l Consejo de Estado no solo evalúa el </w:t>
      </w:r>
      <w:r w:rsidRPr="00316FA4">
        <w:rPr>
          <w:rFonts w:ascii="Times New Roman" w:hAnsi="Times New Roman" w:cs="Times New Roman"/>
          <w:sz w:val="24"/>
          <w:szCs w:val="24"/>
          <w:lang w:val="es-CO"/>
        </w:rPr>
        <w:lastRenderedPageBreak/>
        <w:t>contenido de la urgencia, sino quién la declara. Si no es competente, todo el procedimiento se invalida</w:t>
      </w:r>
      <w:r>
        <w:rPr>
          <w:rFonts w:ascii="Times New Roman" w:hAnsi="Times New Roman" w:cs="Times New Roman"/>
          <w:sz w:val="24"/>
          <w:szCs w:val="24"/>
          <w:lang w:val="es-CO"/>
        </w:rPr>
        <w:t>, e</w:t>
      </w:r>
      <w:r w:rsidRPr="00316FA4">
        <w:rPr>
          <w:rFonts w:ascii="Times New Roman" w:hAnsi="Times New Roman" w:cs="Times New Roman"/>
          <w:sz w:val="24"/>
          <w:szCs w:val="24"/>
          <w:lang w:val="es-CO"/>
        </w:rPr>
        <w:t xml:space="preserve">sta sentencia </w:t>
      </w:r>
      <w:r>
        <w:rPr>
          <w:rFonts w:ascii="Times New Roman" w:hAnsi="Times New Roman" w:cs="Times New Roman"/>
          <w:sz w:val="24"/>
          <w:szCs w:val="24"/>
          <w:lang w:val="es-CO"/>
        </w:rPr>
        <w:t xml:space="preserve">demuestra </w:t>
      </w:r>
      <w:r w:rsidRPr="00316FA4">
        <w:rPr>
          <w:rFonts w:ascii="Times New Roman" w:hAnsi="Times New Roman" w:cs="Times New Roman"/>
          <w:sz w:val="24"/>
          <w:szCs w:val="24"/>
          <w:lang w:val="es-CO"/>
        </w:rPr>
        <w:t>que el principio de legalidad no solo exige contenido, sino también forma, competencia y procedimiento. La urgencia no suple las exigencias básicas del derecho administrativo.</w:t>
      </w:r>
    </w:p>
    <w:p w14:paraId="1874C89B" w14:textId="155AC9C3" w:rsidR="00C66A8D" w:rsidRPr="00933FB7" w:rsidRDefault="00316FA4" w:rsidP="00933FB7">
      <w:pPr>
        <w:tabs>
          <w:tab w:val="num" w:pos="720"/>
        </w:tabs>
        <w:spacing w:after="120" w:line="480" w:lineRule="auto"/>
        <w:jc w:val="both"/>
        <w:rPr>
          <w:rFonts w:ascii="Times New Roman" w:hAnsi="Times New Roman" w:cs="Times New Roman"/>
          <w:sz w:val="24"/>
          <w:szCs w:val="24"/>
        </w:rPr>
      </w:pPr>
      <w:r>
        <w:rPr>
          <w:rFonts w:ascii="Times New Roman" w:hAnsi="Times New Roman" w:cs="Times New Roman"/>
          <w:sz w:val="24"/>
          <w:szCs w:val="24"/>
        </w:rPr>
        <w:tab/>
      </w:r>
      <w:r w:rsidR="007B50B7">
        <w:rPr>
          <w:rFonts w:ascii="Times New Roman" w:hAnsi="Times New Roman" w:cs="Times New Roman"/>
          <w:sz w:val="24"/>
          <w:szCs w:val="24"/>
        </w:rPr>
        <w:t xml:space="preserve">Mediante el análisis de estos casos, </w:t>
      </w:r>
      <w:r w:rsidR="007B50B7" w:rsidRPr="007B50B7">
        <w:rPr>
          <w:rFonts w:ascii="Times New Roman" w:hAnsi="Times New Roman" w:cs="Times New Roman"/>
          <w:sz w:val="24"/>
          <w:szCs w:val="24"/>
        </w:rPr>
        <w:t>el Consejo de Estado ha delineado criterios exigentes para la aplicación de la urgencia manifiesta</w:t>
      </w:r>
      <w:r w:rsidR="007B50B7">
        <w:rPr>
          <w:rFonts w:ascii="Times New Roman" w:hAnsi="Times New Roman" w:cs="Times New Roman"/>
          <w:sz w:val="24"/>
          <w:szCs w:val="24"/>
        </w:rPr>
        <w:t xml:space="preserve">, como la </w:t>
      </w:r>
      <w:r w:rsidR="007B50B7" w:rsidRPr="007B50B7">
        <w:rPr>
          <w:rFonts w:ascii="Times New Roman" w:hAnsi="Times New Roman" w:cs="Times New Roman"/>
          <w:sz w:val="24"/>
          <w:szCs w:val="24"/>
        </w:rPr>
        <w:t>existencia de hechos concretos, la motivación adecuada, la competencia del funcionario, la inmediatez en la contratación y la sujeción a principios de legalidad y</w:t>
      </w:r>
      <w:r w:rsidR="007B50B7">
        <w:rPr>
          <w:rFonts w:ascii="Times New Roman" w:hAnsi="Times New Roman" w:cs="Times New Roman"/>
          <w:sz w:val="24"/>
          <w:szCs w:val="24"/>
        </w:rPr>
        <w:t xml:space="preserve"> </w:t>
      </w:r>
      <w:r w:rsidR="007B50B7" w:rsidRPr="007B50B7">
        <w:rPr>
          <w:rFonts w:ascii="Times New Roman" w:hAnsi="Times New Roman" w:cs="Times New Roman"/>
          <w:sz w:val="24"/>
          <w:szCs w:val="24"/>
        </w:rPr>
        <w:t>proporcionalidad</w:t>
      </w:r>
      <w:r w:rsidR="007B50B7">
        <w:rPr>
          <w:rFonts w:ascii="Times New Roman" w:hAnsi="Times New Roman" w:cs="Times New Roman"/>
          <w:sz w:val="24"/>
          <w:szCs w:val="24"/>
        </w:rPr>
        <w:t xml:space="preserve"> </w:t>
      </w:r>
      <w:proofErr w:type="spellStart"/>
      <w:r w:rsidR="007B50B7">
        <w:rPr>
          <w:rFonts w:ascii="Times New Roman" w:hAnsi="Times New Roman" w:cs="Times New Roman"/>
          <w:sz w:val="24"/>
          <w:szCs w:val="24"/>
        </w:rPr>
        <w:t>ára</w:t>
      </w:r>
      <w:proofErr w:type="spellEnd"/>
      <w:r w:rsidR="007B50B7">
        <w:rPr>
          <w:rFonts w:ascii="Times New Roman" w:hAnsi="Times New Roman" w:cs="Times New Roman"/>
          <w:sz w:val="24"/>
          <w:szCs w:val="24"/>
        </w:rPr>
        <w:t xml:space="preserve"> que no se vea afectado el principio de la selección objetiva. </w:t>
      </w:r>
      <w:r w:rsidR="007B50B7" w:rsidRPr="007B50B7">
        <w:rPr>
          <w:rFonts w:ascii="Times New Roman" w:hAnsi="Times New Roman" w:cs="Times New Roman"/>
          <w:sz w:val="24"/>
          <w:szCs w:val="24"/>
        </w:rPr>
        <w:t>Incluso en escenarios críticos como la pandemia, el Consejo ha mantenido una postura firme para evitar que esta figura se convierta en una vía de contratación arbitraria. De este modo, reitera su función de garante del equilibrio entre la eficacia administrativa y el respeto al orden jurídico.</w:t>
      </w:r>
    </w:p>
    <w:p w14:paraId="3FEBE3C4" w14:textId="22764F91" w:rsidR="00856C8C" w:rsidRDefault="00772815" w:rsidP="000E6109">
      <w:pPr>
        <w:pStyle w:val="Prrafodelista"/>
        <w:numPr>
          <w:ilvl w:val="0"/>
          <w:numId w:val="34"/>
        </w:numPr>
        <w:spacing w:after="120" w:line="480" w:lineRule="auto"/>
        <w:jc w:val="center"/>
        <w:rPr>
          <w:rFonts w:ascii="Times New Roman" w:hAnsi="Times New Roman" w:cs="Times New Roman"/>
          <w:b/>
          <w:bCs/>
          <w:sz w:val="24"/>
          <w:szCs w:val="24"/>
          <w:lang w:val="es-CO"/>
        </w:rPr>
      </w:pPr>
      <w:r w:rsidRPr="000E6109">
        <w:rPr>
          <w:rFonts w:ascii="Times New Roman" w:hAnsi="Times New Roman" w:cs="Times New Roman"/>
          <w:b/>
          <w:bCs/>
          <w:sz w:val="24"/>
          <w:szCs w:val="24"/>
          <w:lang w:val="es-CO"/>
        </w:rPr>
        <w:t>Conclusiones</w:t>
      </w:r>
      <w:r w:rsidR="00856C8C" w:rsidRPr="000E6109">
        <w:rPr>
          <w:rFonts w:ascii="Times New Roman" w:hAnsi="Times New Roman" w:cs="Times New Roman"/>
          <w:b/>
          <w:bCs/>
          <w:sz w:val="24"/>
          <w:szCs w:val="24"/>
          <w:lang w:val="es-CO"/>
        </w:rPr>
        <w:t xml:space="preserve"> y Recomendaciones </w:t>
      </w:r>
      <w:bookmarkEnd w:id="2"/>
      <w:bookmarkEnd w:id="3"/>
    </w:p>
    <w:p w14:paraId="4987877B" w14:textId="77777777" w:rsidR="00E74FD0" w:rsidRPr="00493B21" w:rsidRDefault="00E74FD0" w:rsidP="00E74FD0">
      <w:pPr>
        <w:spacing w:after="120" w:line="480" w:lineRule="auto"/>
        <w:ind w:firstLine="708"/>
        <w:jc w:val="both"/>
        <w:rPr>
          <w:rFonts w:ascii="Times New Roman" w:hAnsi="Times New Roman" w:cs="Times New Roman"/>
          <w:sz w:val="24"/>
          <w:szCs w:val="24"/>
          <w:lang w:val="es-CO"/>
        </w:rPr>
      </w:pPr>
      <w:r w:rsidRPr="00493B21">
        <w:rPr>
          <w:rFonts w:ascii="Times New Roman" w:hAnsi="Times New Roman" w:cs="Times New Roman"/>
          <w:sz w:val="24"/>
          <w:szCs w:val="24"/>
          <w:lang w:val="es-CO"/>
        </w:rPr>
        <w:t>La figura de la urgencia manifiesta constituye una herramienta legal válida para atender situaciones excepcionales que requieren respuestas inmediatas por parte del Estado. Sin embargo, su aplicación no puede entenderse como una exoneración de los principios rectores de la contratación pública, en especial el de selección objetiva. Aunque permite cierta flexibilidad procedimental, su uso debe estar debidamente sustentado en hechos concretos, actuales y verificables, y debe estar respaldado por un acto administrativo motivado y expedido por la autoridad competente. La jurisprudencia del Consejo de Estado ha sido clara en exigir proporcionalidad, legalidad y trazabilidad en estos procesos, reafirmando que esta figura no puede convertirse en una vía de contratación arbitraria ni generalizada.</w:t>
      </w:r>
    </w:p>
    <w:p w14:paraId="11E79946" w14:textId="203C6F53" w:rsidR="00E74FD0" w:rsidRPr="00E74FD0" w:rsidRDefault="00E74FD0" w:rsidP="00E74FD0">
      <w:pPr>
        <w:spacing w:after="120" w:line="480" w:lineRule="auto"/>
        <w:ind w:firstLine="708"/>
        <w:jc w:val="both"/>
        <w:rPr>
          <w:rFonts w:ascii="Times New Roman" w:hAnsi="Times New Roman" w:cs="Times New Roman"/>
          <w:sz w:val="24"/>
          <w:szCs w:val="24"/>
          <w:lang w:val="es-CO"/>
        </w:rPr>
      </w:pPr>
      <w:r w:rsidRPr="00493B21">
        <w:rPr>
          <w:rFonts w:ascii="Times New Roman" w:hAnsi="Times New Roman" w:cs="Times New Roman"/>
          <w:sz w:val="24"/>
          <w:szCs w:val="24"/>
          <w:lang w:val="es-CO"/>
        </w:rPr>
        <w:lastRenderedPageBreak/>
        <w:t>En consecuencia, es recomendable que las entidades estatales recurran a esta modalidad solo cuando se presenten condiciones extraordinarias que justifiquen plenamente su uso. Es fundamental que la motivación de los actos que la declaran sea sólida, objetiva y bien documentada, y que se conserven todos los soportes del proceso para permitir una adecuada fiscalización posterior. Así mismo, se hace necesaria la formación continua de los funcionarios públicos en contratación estatal, para que comprendan los límites y alcances de esta figura y eviten su uso indebido. Además, se debería revisar el marco normativo vigente para cerrar posibles vacíos legales que den lugar a interpretaciones amplias o prácticas poco transparentes, garantizando así la integridad y eficiencia del sistema de compras públicas.</w:t>
      </w:r>
    </w:p>
    <w:p w14:paraId="796A3B34" w14:textId="1A919110" w:rsidR="009B5988" w:rsidRPr="000E6109" w:rsidRDefault="009B5988" w:rsidP="000E6109">
      <w:pPr>
        <w:pStyle w:val="Prrafodelista"/>
        <w:numPr>
          <w:ilvl w:val="0"/>
          <w:numId w:val="34"/>
        </w:numPr>
        <w:spacing w:after="120" w:line="480" w:lineRule="auto"/>
        <w:jc w:val="center"/>
        <w:rPr>
          <w:rFonts w:ascii="Times New Roman" w:hAnsi="Times New Roman" w:cs="Times New Roman"/>
          <w:b/>
          <w:sz w:val="24"/>
          <w:szCs w:val="24"/>
        </w:rPr>
      </w:pPr>
      <w:r w:rsidRPr="000E6109">
        <w:rPr>
          <w:rFonts w:ascii="Times New Roman" w:hAnsi="Times New Roman" w:cs="Times New Roman"/>
          <w:b/>
          <w:sz w:val="24"/>
          <w:szCs w:val="24"/>
        </w:rPr>
        <w:t>Referencias</w:t>
      </w:r>
      <w:r w:rsidR="001B7550" w:rsidRPr="000E6109">
        <w:rPr>
          <w:rFonts w:ascii="Times New Roman" w:hAnsi="Times New Roman" w:cs="Times New Roman"/>
          <w:b/>
          <w:sz w:val="24"/>
          <w:szCs w:val="24"/>
        </w:rPr>
        <w:t xml:space="preserve"> Bibliográficas</w:t>
      </w:r>
    </w:p>
    <w:p w14:paraId="4130D1F5" w14:textId="392D50A9" w:rsidR="00C02E7A" w:rsidRDefault="00C02E7A" w:rsidP="00A255D8">
      <w:pPr>
        <w:widowControl w:val="0"/>
        <w:spacing w:after="0" w:line="480" w:lineRule="auto"/>
        <w:ind w:left="567" w:hanging="567"/>
        <w:jc w:val="both"/>
        <w:rPr>
          <w:rFonts w:ascii="Times New Roman" w:hAnsi="Times New Roman" w:cs="Times New Roman"/>
          <w:sz w:val="24"/>
          <w:szCs w:val="24"/>
        </w:rPr>
      </w:pPr>
      <w:r w:rsidRPr="00C02E7A">
        <w:rPr>
          <w:rFonts w:ascii="Times New Roman" w:hAnsi="Times New Roman" w:cs="Times New Roman"/>
          <w:sz w:val="24"/>
          <w:szCs w:val="24"/>
        </w:rPr>
        <w:t>Cañón, J. M., González, C. J. &amp; Fajardo, K. D. (2022). </w:t>
      </w:r>
      <w:r w:rsidRPr="00C02E7A">
        <w:rPr>
          <w:rFonts w:ascii="Times New Roman" w:hAnsi="Times New Roman" w:cs="Times New Roman"/>
          <w:i/>
          <w:iCs/>
          <w:sz w:val="24"/>
          <w:szCs w:val="24"/>
        </w:rPr>
        <w:t>Nulidad de los contratos de urgencia manifiesta justificada en la no atención de los principios de la contratación estatal previstos en la Ley 80 de 1993, en tiempos de pandemia</w:t>
      </w:r>
      <w:r w:rsidRPr="00C02E7A">
        <w:rPr>
          <w:rFonts w:ascii="Times New Roman" w:hAnsi="Times New Roman" w:cs="Times New Roman"/>
          <w:sz w:val="24"/>
          <w:szCs w:val="24"/>
        </w:rPr>
        <w:t xml:space="preserve">. Recuperado de: </w:t>
      </w:r>
      <w:hyperlink r:id="rId9" w:history="1">
        <w:r w:rsidR="00185961" w:rsidRPr="009C46EE">
          <w:rPr>
            <w:rStyle w:val="Hipervnculo"/>
            <w:rFonts w:ascii="Times New Roman" w:hAnsi="Times New Roman" w:cs="Times New Roman"/>
            <w:sz w:val="24"/>
            <w:szCs w:val="24"/>
          </w:rPr>
          <w:t>http://hdl.handle.net/11396/7329</w:t>
        </w:r>
      </w:hyperlink>
    </w:p>
    <w:p w14:paraId="00F06415" w14:textId="1D4638C1" w:rsidR="00185961" w:rsidRDefault="00185961" w:rsidP="00A255D8">
      <w:pPr>
        <w:widowControl w:val="0"/>
        <w:spacing w:after="0" w:line="480" w:lineRule="auto"/>
        <w:ind w:left="567" w:hanging="567"/>
        <w:jc w:val="both"/>
        <w:rPr>
          <w:rFonts w:ascii="Times New Roman" w:hAnsi="Times New Roman" w:cs="Times New Roman"/>
          <w:sz w:val="24"/>
          <w:szCs w:val="24"/>
        </w:rPr>
      </w:pPr>
      <w:r w:rsidRPr="00185961">
        <w:rPr>
          <w:rFonts w:ascii="Times New Roman" w:hAnsi="Times New Roman" w:cs="Times New Roman"/>
          <w:sz w:val="24"/>
          <w:szCs w:val="24"/>
        </w:rPr>
        <w:t xml:space="preserve">Consejo de Estado, Sección Tercera, Subsección A. (2015, 16 de julio). </w:t>
      </w:r>
      <w:r w:rsidRPr="00185961">
        <w:rPr>
          <w:rFonts w:ascii="Times New Roman" w:hAnsi="Times New Roman" w:cs="Times New Roman"/>
          <w:i/>
          <w:iCs/>
          <w:sz w:val="24"/>
          <w:szCs w:val="24"/>
        </w:rPr>
        <w:t>Sentencia</w:t>
      </w:r>
      <w:r w:rsidRPr="00185961">
        <w:rPr>
          <w:rFonts w:ascii="Times New Roman" w:hAnsi="Times New Roman" w:cs="Times New Roman"/>
          <w:sz w:val="24"/>
          <w:szCs w:val="24"/>
        </w:rPr>
        <w:t xml:space="preserve"> [</w:t>
      </w:r>
      <w:proofErr w:type="spellStart"/>
      <w:r w:rsidRPr="00185961">
        <w:rPr>
          <w:rFonts w:ascii="Times New Roman" w:hAnsi="Times New Roman" w:cs="Times New Roman"/>
          <w:sz w:val="24"/>
          <w:szCs w:val="24"/>
        </w:rPr>
        <w:t>Exp</w:t>
      </w:r>
      <w:proofErr w:type="spellEnd"/>
      <w:r w:rsidRPr="00185961">
        <w:rPr>
          <w:rFonts w:ascii="Times New Roman" w:hAnsi="Times New Roman" w:cs="Times New Roman"/>
          <w:sz w:val="24"/>
          <w:szCs w:val="24"/>
        </w:rPr>
        <w:t>. 41.768]. Sala de lo Contencioso Administrativo.</w:t>
      </w:r>
    </w:p>
    <w:p w14:paraId="6D37A680" w14:textId="1146F29E" w:rsidR="00F60F8E" w:rsidRDefault="00F60F8E" w:rsidP="00A255D8">
      <w:pPr>
        <w:widowControl w:val="0"/>
        <w:spacing w:after="0" w:line="480" w:lineRule="auto"/>
        <w:ind w:left="567" w:hanging="567"/>
        <w:jc w:val="both"/>
        <w:rPr>
          <w:rFonts w:ascii="Times New Roman" w:hAnsi="Times New Roman" w:cs="Times New Roman"/>
          <w:sz w:val="24"/>
          <w:szCs w:val="24"/>
        </w:rPr>
      </w:pPr>
      <w:r w:rsidRPr="00F60F8E">
        <w:rPr>
          <w:rFonts w:ascii="Times New Roman" w:hAnsi="Times New Roman" w:cs="Times New Roman"/>
          <w:sz w:val="24"/>
          <w:szCs w:val="24"/>
        </w:rPr>
        <w:t xml:space="preserve">Consejo de Estado. (2006). </w:t>
      </w:r>
      <w:r w:rsidRPr="00F60F8E">
        <w:rPr>
          <w:rFonts w:ascii="Times New Roman" w:hAnsi="Times New Roman" w:cs="Times New Roman"/>
          <w:i/>
          <w:iCs/>
          <w:sz w:val="24"/>
          <w:szCs w:val="24"/>
        </w:rPr>
        <w:t>Sentencia Rad. 14275 del 27 de abril de 2006</w:t>
      </w:r>
      <w:r w:rsidRPr="00F60F8E">
        <w:rPr>
          <w:rFonts w:ascii="Times New Roman" w:hAnsi="Times New Roman" w:cs="Times New Roman"/>
          <w:sz w:val="24"/>
          <w:szCs w:val="24"/>
        </w:rPr>
        <w:t xml:space="preserve">. </w:t>
      </w:r>
      <w:hyperlink r:id="rId10" w:history="1">
        <w:r w:rsidRPr="00C603DC">
          <w:rPr>
            <w:rStyle w:val="Hipervnculo"/>
            <w:rFonts w:ascii="Times New Roman" w:hAnsi="Times New Roman" w:cs="Times New Roman"/>
            <w:sz w:val="24"/>
            <w:szCs w:val="24"/>
          </w:rPr>
          <w:t>https://normas.cra.gov.co</w:t>
        </w:r>
      </w:hyperlink>
      <w:r>
        <w:rPr>
          <w:rFonts w:ascii="Times New Roman" w:hAnsi="Times New Roman" w:cs="Times New Roman"/>
          <w:sz w:val="24"/>
          <w:szCs w:val="24"/>
        </w:rPr>
        <w:t xml:space="preserve"> </w:t>
      </w:r>
    </w:p>
    <w:p w14:paraId="4E79E3D5" w14:textId="10B94687" w:rsidR="00356B3D" w:rsidRPr="002F12D4" w:rsidRDefault="00356B3D" w:rsidP="00A255D8">
      <w:pPr>
        <w:widowControl w:val="0"/>
        <w:spacing w:after="0" w:line="480" w:lineRule="auto"/>
        <w:ind w:left="567" w:hanging="567"/>
        <w:jc w:val="both"/>
        <w:rPr>
          <w:rFonts w:ascii="Times New Roman" w:hAnsi="Times New Roman" w:cs="Times New Roman"/>
          <w:sz w:val="24"/>
          <w:szCs w:val="24"/>
        </w:rPr>
      </w:pPr>
      <w:r w:rsidRPr="00356B3D">
        <w:rPr>
          <w:rFonts w:ascii="Times New Roman" w:hAnsi="Times New Roman" w:cs="Times New Roman"/>
          <w:sz w:val="24"/>
          <w:szCs w:val="24"/>
        </w:rPr>
        <w:t xml:space="preserve">Consejo de Estado. (2021). </w:t>
      </w:r>
      <w:r w:rsidRPr="00356B3D">
        <w:rPr>
          <w:rFonts w:ascii="Times New Roman" w:hAnsi="Times New Roman" w:cs="Times New Roman"/>
          <w:i/>
          <w:iCs/>
          <w:sz w:val="24"/>
          <w:szCs w:val="24"/>
        </w:rPr>
        <w:t>Control inmediato de legalidad – Resolución 2496 de 2020 (ADRES)</w:t>
      </w:r>
      <w:r w:rsidRPr="00356B3D">
        <w:rPr>
          <w:rFonts w:ascii="Times New Roman" w:hAnsi="Times New Roman" w:cs="Times New Roman"/>
          <w:sz w:val="24"/>
          <w:szCs w:val="24"/>
        </w:rPr>
        <w:t xml:space="preserve">. </w:t>
      </w:r>
      <w:r w:rsidRPr="002F12D4">
        <w:rPr>
          <w:rFonts w:ascii="Times New Roman" w:hAnsi="Times New Roman" w:cs="Times New Roman"/>
          <w:sz w:val="24"/>
          <w:szCs w:val="24"/>
        </w:rPr>
        <w:t>Expediente 11001</w:t>
      </w:r>
      <w:r w:rsidRPr="002F12D4">
        <w:rPr>
          <w:rFonts w:ascii="Times New Roman" w:hAnsi="Times New Roman" w:cs="Times New Roman"/>
          <w:sz w:val="24"/>
          <w:szCs w:val="24"/>
        </w:rPr>
        <w:noBreakHyphen/>
        <w:t>03</w:t>
      </w:r>
      <w:r w:rsidRPr="002F12D4">
        <w:rPr>
          <w:rFonts w:ascii="Times New Roman" w:hAnsi="Times New Roman" w:cs="Times New Roman"/>
          <w:sz w:val="24"/>
          <w:szCs w:val="24"/>
        </w:rPr>
        <w:noBreakHyphen/>
        <w:t>15</w:t>
      </w:r>
      <w:r w:rsidRPr="002F12D4">
        <w:rPr>
          <w:rFonts w:ascii="Times New Roman" w:hAnsi="Times New Roman" w:cs="Times New Roman"/>
          <w:sz w:val="24"/>
          <w:szCs w:val="24"/>
        </w:rPr>
        <w:noBreakHyphen/>
        <w:t>000</w:t>
      </w:r>
      <w:r w:rsidRPr="002F12D4">
        <w:rPr>
          <w:rFonts w:ascii="Times New Roman" w:hAnsi="Times New Roman" w:cs="Times New Roman"/>
          <w:sz w:val="24"/>
          <w:szCs w:val="24"/>
        </w:rPr>
        <w:noBreakHyphen/>
        <w:t>2020</w:t>
      </w:r>
      <w:r w:rsidRPr="002F12D4">
        <w:rPr>
          <w:rFonts w:ascii="Times New Roman" w:hAnsi="Times New Roman" w:cs="Times New Roman"/>
          <w:sz w:val="24"/>
          <w:szCs w:val="24"/>
        </w:rPr>
        <w:noBreakHyphen/>
        <w:t>01805</w:t>
      </w:r>
      <w:r w:rsidRPr="002F12D4">
        <w:rPr>
          <w:rFonts w:ascii="Times New Roman" w:hAnsi="Times New Roman" w:cs="Times New Roman"/>
          <w:sz w:val="24"/>
          <w:szCs w:val="24"/>
        </w:rPr>
        <w:noBreakHyphen/>
        <w:t xml:space="preserve">00. </w:t>
      </w:r>
      <w:hyperlink r:id="rId11" w:history="1">
        <w:r w:rsidR="002F12D4" w:rsidRPr="002F12D4">
          <w:rPr>
            <w:rStyle w:val="Hipervnculo"/>
            <w:rFonts w:ascii="Times New Roman" w:hAnsi="Times New Roman" w:cs="Times New Roman"/>
            <w:sz w:val="24"/>
            <w:szCs w:val="24"/>
          </w:rPr>
          <w:t>https://normas.cra.gov.co</w:t>
        </w:r>
      </w:hyperlink>
    </w:p>
    <w:p w14:paraId="497C0592" w14:textId="361B710E" w:rsidR="002F12D4" w:rsidRDefault="002F12D4" w:rsidP="00A255D8">
      <w:pPr>
        <w:widowControl w:val="0"/>
        <w:spacing w:after="0" w:line="480" w:lineRule="auto"/>
        <w:ind w:left="567" w:hanging="567"/>
        <w:jc w:val="both"/>
        <w:rPr>
          <w:rFonts w:ascii="Times New Roman" w:hAnsi="Times New Roman" w:cs="Times New Roman"/>
          <w:sz w:val="24"/>
          <w:szCs w:val="24"/>
        </w:rPr>
      </w:pPr>
      <w:r w:rsidRPr="002F12D4">
        <w:rPr>
          <w:rFonts w:ascii="Times New Roman" w:hAnsi="Times New Roman" w:cs="Times New Roman"/>
          <w:sz w:val="24"/>
          <w:szCs w:val="24"/>
        </w:rPr>
        <w:t xml:space="preserve">Consejo de Estado. (2021). </w:t>
      </w:r>
      <w:r w:rsidRPr="002F12D4">
        <w:rPr>
          <w:rStyle w:val="nfasis"/>
          <w:rFonts w:ascii="Times New Roman" w:hAnsi="Times New Roman" w:cs="Times New Roman"/>
          <w:sz w:val="24"/>
          <w:szCs w:val="24"/>
        </w:rPr>
        <w:t>Sala Plena – Contratación COVID</w:t>
      </w:r>
      <w:r w:rsidRPr="002F12D4">
        <w:rPr>
          <w:rStyle w:val="nfasis"/>
          <w:rFonts w:ascii="Times New Roman" w:hAnsi="Times New Roman" w:cs="Times New Roman"/>
          <w:sz w:val="24"/>
          <w:szCs w:val="24"/>
        </w:rPr>
        <w:noBreakHyphen/>
        <w:t>19</w:t>
      </w:r>
      <w:r w:rsidRPr="002F12D4">
        <w:rPr>
          <w:rFonts w:ascii="Times New Roman" w:hAnsi="Times New Roman" w:cs="Times New Roman"/>
          <w:sz w:val="24"/>
          <w:szCs w:val="24"/>
        </w:rPr>
        <w:t>. Expediente 11001</w:t>
      </w:r>
      <w:r w:rsidRPr="002F12D4">
        <w:rPr>
          <w:rFonts w:ascii="Times New Roman" w:hAnsi="Times New Roman" w:cs="Times New Roman"/>
          <w:sz w:val="24"/>
          <w:szCs w:val="24"/>
        </w:rPr>
        <w:noBreakHyphen/>
        <w:t>03</w:t>
      </w:r>
      <w:r w:rsidRPr="002F12D4">
        <w:rPr>
          <w:rFonts w:ascii="Times New Roman" w:hAnsi="Times New Roman" w:cs="Times New Roman"/>
          <w:sz w:val="24"/>
          <w:szCs w:val="24"/>
        </w:rPr>
        <w:noBreakHyphen/>
        <w:t>15</w:t>
      </w:r>
      <w:r w:rsidRPr="002F12D4">
        <w:rPr>
          <w:rFonts w:ascii="Times New Roman" w:hAnsi="Times New Roman" w:cs="Times New Roman"/>
          <w:sz w:val="24"/>
          <w:szCs w:val="24"/>
        </w:rPr>
        <w:noBreakHyphen/>
        <w:t>000</w:t>
      </w:r>
      <w:r w:rsidRPr="002F12D4">
        <w:rPr>
          <w:rFonts w:ascii="Times New Roman" w:hAnsi="Times New Roman" w:cs="Times New Roman"/>
          <w:sz w:val="24"/>
          <w:szCs w:val="24"/>
        </w:rPr>
        <w:noBreakHyphen/>
        <w:t>2020</w:t>
      </w:r>
      <w:r w:rsidRPr="002F12D4">
        <w:rPr>
          <w:rFonts w:ascii="Times New Roman" w:hAnsi="Times New Roman" w:cs="Times New Roman"/>
          <w:sz w:val="24"/>
          <w:szCs w:val="24"/>
        </w:rPr>
        <w:noBreakHyphen/>
        <w:t>01910</w:t>
      </w:r>
      <w:r w:rsidRPr="002F12D4">
        <w:rPr>
          <w:rFonts w:ascii="Times New Roman" w:hAnsi="Times New Roman" w:cs="Times New Roman"/>
          <w:sz w:val="24"/>
          <w:szCs w:val="24"/>
        </w:rPr>
        <w:noBreakHyphen/>
        <w:t xml:space="preserve">00. </w:t>
      </w:r>
      <w:hyperlink r:id="rId12" w:history="1">
        <w:r w:rsidR="00316FA4" w:rsidRPr="00C603DC">
          <w:rPr>
            <w:rStyle w:val="Hipervnculo"/>
            <w:rFonts w:ascii="Times New Roman" w:hAnsi="Times New Roman" w:cs="Times New Roman"/>
            <w:sz w:val="24"/>
            <w:szCs w:val="24"/>
          </w:rPr>
          <w:t>https://normas.cra.gov.co</w:t>
        </w:r>
      </w:hyperlink>
    </w:p>
    <w:p w14:paraId="211614DD" w14:textId="6EE8D99E" w:rsidR="00316FA4" w:rsidRPr="002F12D4" w:rsidRDefault="00316FA4" w:rsidP="00A255D8">
      <w:pPr>
        <w:widowControl w:val="0"/>
        <w:spacing w:after="0" w:line="480" w:lineRule="auto"/>
        <w:ind w:left="567" w:hanging="567"/>
        <w:jc w:val="both"/>
        <w:rPr>
          <w:rFonts w:ascii="Times New Roman" w:hAnsi="Times New Roman" w:cs="Times New Roman"/>
          <w:sz w:val="24"/>
          <w:szCs w:val="24"/>
        </w:rPr>
      </w:pPr>
      <w:r w:rsidRPr="00316FA4">
        <w:rPr>
          <w:rFonts w:ascii="Times New Roman" w:hAnsi="Times New Roman" w:cs="Times New Roman"/>
          <w:sz w:val="24"/>
          <w:szCs w:val="24"/>
        </w:rPr>
        <w:lastRenderedPageBreak/>
        <w:t xml:space="preserve">Consejo de Estado. (2019). </w:t>
      </w:r>
      <w:r w:rsidRPr="00316FA4">
        <w:rPr>
          <w:rFonts w:ascii="Times New Roman" w:hAnsi="Times New Roman" w:cs="Times New Roman"/>
          <w:i/>
          <w:iCs/>
          <w:sz w:val="24"/>
          <w:szCs w:val="24"/>
        </w:rPr>
        <w:t>Fallo 00229 – Revisión de competencia y causal de urgencia</w:t>
      </w:r>
      <w:r w:rsidRPr="00316FA4">
        <w:rPr>
          <w:rFonts w:ascii="Times New Roman" w:hAnsi="Times New Roman" w:cs="Times New Roman"/>
          <w:sz w:val="24"/>
          <w:szCs w:val="24"/>
        </w:rPr>
        <w:t xml:space="preserve">. </w:t>
      </w:r>
      <w:hyperlink r:id="rId13" w:history="1">
        <w:r w:rsidRPr="00C603DC">
          <w:rPr>
            <w:rStyle w:val="Hipervnculo"/>
            <w:rFonts w:ascii="Times New Roman" w:hAnsi="Times New Roman" w:cs="Times New Roman"/>
            <w:sz w:val="24"/>
            <w:szCs w:val="24"/>
          </w:rPr>
          <w:t>https://www.alcaldiabogota.gov.co</w:t>
        </w:r>
      </w:hyperlink>
      <w:r>
        <w:rPr>
          <w:rFonts w:ascii="Times New Roman" w:hAnsi="Times New Roman" w:cs="Times New Roman"/>
          <w:sz w:val="24"/>
          <w:szCs w:val="24"/>
        </w:rPr>
        <w:t xml:space="preserve"> </w:t>
      </w:r>
    </w:p>
    <w:p w14:paraId="13714576" w14:textId="51C9C8DE" w:rsidR="007E356A" w:rsidRPr="007E356A" w:rsidRDefault="007E356A" w:rsidP="00A255D8">
      <w:pPr>
        <w:widowControl w:val="0"/>
        <w:spacing w:after="0" w:line="480" w:lineRule="auto"/>
        <w:ind w:left="567" w:hanging="567"/>
        <w:jc w:val="both"/>
        <w:rPr>
          <w:rFonts w:ascii="Times New Roman" w:hAnsi="Times New Roman" w:cs="Times New Roman"/>
          <w:sz w:val="24"/>
          <w:szCs w:val="24"/>
        </w:rPr>
      </w:pPr>
      <w:r w:rsidRPr="007E356A">
        <w:rPr>
          <w:rFonts w:ascii="Times New Roman" w:hAnsi="Times New Roman" w:cs="Times New Roman"/>
          <w:sz w:val="24"/>
          <w:szCs w:val="24"/>
        </w:rPr>
        <w:t xml:space="preserve">Corte Constitucional de Colombia. (2020, abril 12). </w:t>
      </w:r>
      <w:r w:rsidRPr="007E356A">
        <w:rPr>
          <w:rFonts w:ascii="Times New Roman" w:hAnsi="Times New Roman" w:cs="Times New Roman"/>
          <w:i/>
          <w:iCs/>
          <w:sz w:val="24"/>
          <w:szCs w:val="24"/>
        </w:rPr>
        <w:t>Sentencia C-181/20. Revisión de constitucionalidad del Decreto Legislativo 537 del 12 de abril de 2020, “Por el cual se adoptan medidas en materia de contratación estatal, en el marco del Estado de Emergencia Económica, Social y Ecológica.”</w:t>
      </w:r>
      <w:r w:rsidRPr="007E356A">
        <w:rPr>
          <w:rFonts w:ascii="Times New Roman" w:hAnsi="Times New Roman" w:cs="Times New Roman"/>
          <w:sz w:val="24"/>
          <w:szCs w:val="24"/>
        </w:rPr>
        <w:t xml:space="preserve"> Magistrado ponente: Alejandro Linares Cantillo. </w:t>
      </w:r>
      <w:hyperlink r:id="rId14" w:tgtFrame="_new" w:history="1">
        <w:r w:rsidRPr="007E356A">
          <w:rPr>
            <w:rStyle w:val="Hipervnculo"/>
            <w:rFonts w:ascii="Times New Roman" w:hAnsi="Times New Roman" w:cs="Times New Roman"/>
            <w:sz w:val="24"/>
            <w:szCs w:val="24"/>
          </w:rPr>
          <w:t>https://www.corteconstitucional.gov.co/relatoria/2020/c-181-20.htm</w:t>
        </w:r>
      </w:hyperlink>
    </w:p>
    <w:p w14:paraId="07C2E7F2" w14:textId="6EB4ABB8" w:rsidR="00772815" w:rsidRDefault="000E6109" w:rsidP="00A255D8">
      <w:pPr>
        <w:widowControl w:val="0"/>
        <w:spacing w:after="0" w:line="480" w:lineRule="auto"/>
        <w:ind w:left="567" w:hanging="567"/>
        <w:jc w:val="both"/>
        <w:rPr>
          <w:rFonts w:ascii="Times New Roman" w:hAnsi="Times New Roman" w:cs="Times New Roman"/>
          <w:sz w:val="24"/>
          <w:szCs w:val="24"/>
        </w:rPr>
      </w:pPr>
      <w:r w:rsidRPr="000E6109">
        <w:rPr>
          <w:rFonts w:ascii="Times New Roman" w:hAnsi="Times New Roman" w:cs="Times New Roman"/>
          <w:sz w:val="24"/>
          <w:szCs w:val="24"/>
        </w:rPr>
        <w:t xml:space="preserve">García Zapata, M.  (2021).  Contratación directa con ocasión de la indebida declaratoria de urgencia </w:t>
      </w:r>
      <w:r w:rsidRPr="003641A7">
        <w:rPr>
          <w:rFonts w:ascii="Times New Roman" w:hAnsi="Times New Roman" w:cs="Times New Roman"/>
          <w:sz w:val="24"/>
          <w:szCs w:val="24"/>
        </w:rPr>
        <w:t xml:space="preserve">manifiesta.    Universidad de Antioquia.  Disponible en: </w:t>
      </w:r>
      <w:hyperlink r:id="rId15" w:history="1">
        <w:r w:rsidR="003175BB" w:rsidRPr="009C46EE">
          <w:rPr>
            <w:rStyle w:val="Hipervnculo"/>
            <w:rFonts w:ascii="Times New Roman" w:hAnsi="Times New Roman" w:cs="Times New Roman"/>
            <w:sz w:val="24"/>
            <w:szCs w:val="24"/>
          </w:rPr>
          <w:t>http://hdl.handle.net/10495/20005</w:t>
        </w:r>
      </w:hyperlink>
    </w:p>
    <w:p w14:paraId="012845A8" w14:textId="59E81BCC" w:rsidR="003175BB" w:rsidRPr="003641A7" w:rsidRDefault="003175BB" w:rsidP="00A255D8">
      <w:pPr>
        <w:widowControl w:val="0"/>
        <w:spacing w:after="0" w:line="480" w:lineRule="auto"/>
        <w:ind w:left="567" w:hanging="567"/>
        <w:jc w:val="both"/>
        <w:rPr>
          <w:rFonts w:ascii="Times New Roman" w:hAnsi="Times New Roman" w:cs="Times New Roman"/>
          <w:sz w:val="24"/>
          <w:szCs w:val="24"/>
        </w:rPr>
      </w:pPr>
      <w:r w:rsidRPr="003175BB">
        <w:rPr>
          <w:rFonts w:ascii="Times New Roman" w:hAnsi="Times New Roman" w:cs="Times New Roman"/>
          <w:sz w:val="24"/>
          <w:szCs w:val="24"/>
        </w:rPr>
        <w:t xml:space="preserve">Guzmán Ramírez, M. P. (2022). </w:t>
      </w:r>
      <w:r w:rsidRPr="003175BB">
        <w:rPr>
          <w:rFonts w:ascii="Times New Roman" w:hAnsi="Times New Roman" w:cs="Times New Roman"/>
          <w:i/>
          <w:iCs/>
          <w:sz w:val="24"/>
          <w:szCs w:val="24"/>
        </w:rPr>
        <w:t>Indebida fundamentación de la fuerza mayor como causal de la urgencia manifiesta</w:t>
      </w:r>
      <w:r w:rsidRPr="003175BB">
        <w:rPr>
          <w:rFonts w:ascii="Times New Roman" w:hAnsi="Times New Roman" w:cs="Times New Roman"/>
          <w:sz w:val="24"/>
          <w:szCs w:val="24"/>
        </w:rPr>
        <w:t xml:space="preserve"> (Tesis de pregrado, Universidad La Gran Colombia). </w:t>
      </w:r>
      <w:hyperlink r:id="rId16" w:tgtFrame="_new" w:history="1">
        <w:r w:rsidRPr="003175BB">
          <w:rPr>
            <w:rStyle w:val="Hipervnculo"/>
            <w:rFonts w:ascii="Times New Roman" w:hAnsi="Times New Roman" w:cs="Times New Roman"/>
            <w:sz w:val="24"/>
            <w:szCs w:val="24"/>
          </w:rPr>
          <w:t>https://repository.ugc.edu.co/server/api/core/bitstreams/2c686822-e813-4e4e-b08f-e6aca62d949d/content</w:t>
        </w:r>
      </w:hyperlink>
    </w:p>
    <w:p w14:paraId="18D025E3" w14:textId="0413FD19" w:rsidR="00D83FF3" w:rsidRDefault="00D83FF3" w:rsidP="003641A7">
      <w:pPr>
        <w:spacing w:line="480" w:lineRule="auto"/>
        <w:ind w:left="709" w:hanging="709"/>
        <w:jc w:val="both"/>
        <w:rPr>
          <w:rFonts w:ascii="Times New Roman" w:eastAsia="Times New Roman" w:hAnsi="Times New Roman" w:cs="Times New Roman"/>
          <w:sz w:val="24"/>
          <w:szCs w:val="24"/>
          <w:lang w:val="es-CO" w:eastAsia="es-ES"/>
        </w:rPr>
      </w:pPr>
      <w:r w:rsidRPr="00D83FF3">
        <w:rPr>
          <w:rFonts w:ascii="Times New Roman" w:eastAsia="Times New Roman" w:hAnsi="Times New Roman" w:cs="Times New Roman"/>
          <w:sz w:val="24"/>
          <w:szCs w:val="24"/>
          <w:lang w:eastAsia="es-ES"/>
        </w:rPr>
        <w:t>Ortega Saurith, Carlos Rodolfo, &amp; Correa Martínez, César Alberto. (2022). Riesgos En El Uso Del Fondo De Contingencia Ante Urgencia Manifiesta En La Contratación Pública En Colombia. </w:t>
      </w:r>
      <w:proofErr w:type="spellStart"/>
      <w:r w:rsidRPr="00D83FF3">
        <w:rPr>
          <w:rFonts w:ascii="Times New Roman" w:eastAsia="Times New Roman" w:hAnsi="Times New Roman" w:cs="Times New Roman"/>
          <w:i/>
          <w:iCs/>
          <w:sz w:val="24"/>
          <w:szCs w:val="24"/>
          <w:lang w:eastAsia="es-ES"/>
        </w:rPr>
        <w:t>Novum</w:t>
      </w:r>
      <w:proofErr w:type="spellEnd"/>
      <w:r w:rsidRPr="00D83FF3">
        <w:rPr>
          <w:rFonts w:ascii="Times New Roman" w:eastAsia="Times New Roman" w:hAnsi="Times New Roman" w:cs="Times New Roman"/>
          <w:i/>
          <w:iCs/>
          <w:sz w:val="24"/>
          <w:szCs w:val="24"/>
          <w:lang w:eastAsia="es-ES"/>
        </w:rPr>
        <w:t xml:space="preserve"> </w:t>
      </w:r>
      <w:proofErr w:type="spellStart"/>
      <w:r w:rsidRPr="00D83FF3">
        <w:rPr>
          <w:rFonts w:ascii="Times New Roman" w:eastAsia="Times New Roman" w:hAnsi="Times New Roman" w:cs="Times New Roman"/>
          <w:i/>
          <w:iCs/>
          <w:sz w:val="24"/>
          <w:szCs w:val="24"/>
          <w:lang w:eastAsia="es-ES"/>
        </w:rPr>
        <w:t>Jus</w:t>
      </w:r>
      <w:proofErr w:type="spellEnd"/>
      <w:r w:rsidRPr="00D83FF3">
        <w:rPr>
          <w:rFonts w:ascii="Times New Roman" w:eastAsia="Times New Roman" w:hAnsi="Times New Roman" w:cs="Times New Roman"/>
          <w:sz w:val="24"/>
          <w:szCs w:val="24"/>
          <w:lang w:eastAsia="es-ES"/>
        </w:rPr>
        <w:t>, </w:t>
      </w:r>
      <w:r w:rsidRPr="00D83FF3">
        <w:rPr>
          <w:rFonts w:ascii="Times New Roman" w:eastAsia="Times New Roman" w:hAnsi="Times New Roman" w:cs="Times New Roman"/>
          <w:i/>
          <w:iCs/>
          <w:sz w:val="24"/>
          <w:szCs w:val="24"/>
          <w:lang w:eastAsia="es-ES"/>
        </w:rPr>
        <w:t>16</w:t>
      </w:r>
      <w:r w:rsidRPr="00D83FF3">
        <w:rPr>
          <w:rFonts w:ascii="Times New Roman" w:eastAsia="Times New Roman" w:hAnsi="Times New Roman" w:cs="Times New Roman"/>
          <w:sz w:val="24"/>
          <w:szCs w:val="24"/>
          <w:lang w:eastAsia="es-ES"/>
        </w:rPr>
        <w:t xml:space="preserve">(3), 383-411. </w:t>
      </w:r>
      <w:proofErr w:type="spellStart"/>
      <w:r w:rsidRPr="00D83FF3">
        <w:rPr>
          <w:rFonts w:ascii="Times New Roman" w:eastAsia="Times New Roman" w:hAnsi="Times New Roman" w:cs="Times New Roman"/>
          <w:sz w:val="24"/>
          <w:szCs w:val="24"/>
          <w:lang w:eastAsia="es-ES"/>
        </w:rPr>
        <w:t>Epub</w:t>
      </w:r>
      <w:proofErr w:type="spellEnd"/>
      <w:r w:rsidRPr="00D83FF3">
        <w:rPr>
          <w:rFonts w:ascii="Times New Roman" w:eastAsia="Times New Roman" w:hAnsi="Times New Roman" w:cs="Times New Roman"/>
          <w:sz w:val="24"/>
          <w:szCs w:val="24"/>
          <w:lang w:eastAsia="es-ES"/>
        </w:rPr>
        <w:t xml:space="preserve"> March 21, 2023.</w:t>
      </w:r>
      <w:hyperlink r:id="rId17" w:history="1">
        <w:r w:rsidRPr="00D83FF3">
          <w:rPr>
            <w:rStyle w:val="Hipervnculo"/>
            <w:rFonts w:ascii="Times New Roman" w:eastAsia="Times New Roman" w:hAnsi="Times New Roman" w:cs="Times New Roman"/>
            <w:sz w:val="24"/>
            <w:szCs w:val="24"/>
            <w:lang w:eastAsia="es-ES"/>
          </w:rPr>
          <w:t>https://doi.org/10.14718/novumjus.2022.16.3.14</w:t>
        </w:r>
      </w:hyperlink>
    </w:p>
    <w:p w14:paraId="5613C525" w14:textId="0273354B" w:rsidR="003641A7" w:rsidRDefault="003641A7" w:rsidP="003641A7">
      <w:pPr>
        <w:spacing w:line="480" w:lineRule="auto"/>
        <w:ind w:left="709" w:hanging="709"/>
        <w:jc w:val="both"/>
        <w:rPr>
          <w:rFonts w:ascii="Times New Roman" w:eastAsia="Times New Roman" w:hAnsi="Times New Roman" w:cs="Times New Roman"/>
          <w:sz w:val="24"/>
          <w:szCs w:val="24"/>
          <w:lang w:val="es-CO" w:eastAsia="es-ES"/>
        </w:rPr>
      </w:pPr>
      <w:r w:rsidRPr="003641A7">
        <w:rPr>
          <w:rFonts w:ascii="Times New Roman" w:eastAsia="Times New Roman" w:hAnsi="Times New Roman" w:cs="Times New Roman"/>
          <w:sz w:val="24"/>
          <w:szCs w:val="24"/>
          <w:lang w:val="es-CO" w:eastAsia="es-ES"/>
        </w:rPr>
        <w:t xml:space="preserve">Ospina, J. A. (2021). </w:t>
      </w:r>
      <w:r w:rsidRPr="003641A7">
        <w:rPr>
          <w:rFonts w:ascii="Times New Roman" w:eastAsia="Times New Roman" w:hAnsi="Times New Roman" w:cs="Times New Roman"/>
          <w:i/>
          <w:iCs/>
          <w:sz w:val="24"/>
          <w:szCs w:val="24"/>
          <w:lang w:val="es-CO" w:eastAsia="es-ES"/>
        </w:rPr>
        <w:t>La contratación directa por urgencia manifiesta y su control fiscal</w:t>
      </w:r>
      <w:r w:rsidRPr="003641A7">
        <w:rPr>
          <w:rFonts w:ascii="Times New Roman" w:eastAsia="Times New Roman" w:hAnsi="Times New Roman" w:cs="Times New Roman"/>
          <w:sz w:val="24"/>
          <w:szCs w:val="24"/>
          <w:lang w:val="es-CO" w:eastAsia="es-ES"/>
        </w:rPr>
        <w:t>. Universidad Externado de Colombia.</w:t>
      </w:r>
    </w:p>
    <w:p w14:paraId="19387477" w14:textId="0DF198F7" w:rsidR="00AA5F34" w:rsidRDefault="00AA5F34" w:rsidP="003641A7">
      <w:pPr>
        <w:spacing w:line="480" w:lineRule="auto"/>
        <w:ind w:left="709" w:hanging="709"/>
        <w:jc w:val="both"/>
        <w:rPr>
          <w:rFonts w:ascii="Times New Roman" w:eastAsia="Times New Roman" w:hAnsi="Times New Roman" w:cs="Times New Roman"/>
          <w:sz w:val="24"/>
          <w:szCs w:val="24"/>
          <w:lang w:val="es-CO" w:eastAsia="es-ES"/>
        </w:rPr>
      </w:pPr>
      <w:r w:rsidRPr="00AA5F34">
        <w:rPr>
          <w:rFonts w:ascii="Times New Roman" w:eastAsia="Times New Roman" w:hAnsi="Times New Roman" w:cs="Times New Roman"/>
          <w:sz w:val="24"/>
          <w:szCs w:val="24"/>
          <w:lang w:val="es-CO" w:eastAsia="es-ES"/>
        </w:rPr>
        <w:t xml:space="preserve">Torres, A. (2020). El Reto Mundial Del Covid-19 Y Un Escenario Desconocido Para El Desarrollo De Las Políticas Públicas. En T. e. </w:t>
      </w:r>
      <w:proofErr w:type="spellStart"/>
      <w:r w:rsidRPr="00AA5F34">
        <w:rPr>
          <w:rFonts w:ascii="Times New Roman" w:eastAsia="Times New Roman" w:hAnsi="Times New Roman" w:cs="Times New Roman"/>
          <w:sz w:val="24"/>
          <w:szCs w:val="24"/>
          <w:lang w:val="es-CO" w:eastAsia="es-ES"/>
        </w:rPr>
        <w:t>al</w:t>
      </w:r>
      <w:proofErr w:type="spellEnd"/>
      <w:r w:rsidRPr="00AA5F34">
        <w:rPr>
          <w:rFonts w:ascii="Times New Roman" w:eastAsia="Times New Roman" w:hAnsi="Times New Roman" w:cs="Times New Roman"/>
          <w:sz w:val="24"/>
          <w:szCs w:val="24"/>
          <w:lang w:val="es-CO" w:eastAsia="es-ES"/>
        </w:rPr>
        <w:t>., Efectos económicos y sociales por COVID - 19 y alternativas de políticas públicas (pág. 83). Medellín, Colombia: Alcaldía de Medellín.</w:t>
      </w:r>
    </w:p>
    <w:p w14:paraId="7A3788B3" w14:textId="19C02529" w:rsidR="00546095" w:rsidRPr="003641A7" w:rsidRDefault="00546095" w:rsidP="003641A7">
      <w:pPr>
        <w:spacing w:line="480" w:lineRule="auto"/>
        <w:ind w:left="709" w:hanging="709"/>
        <w:jc w:val="both"/>
        <w:rPr>
          <w:rFonts w:ascii="Times New Roman" w:eastAsia="Times New Roman" w:hAnsi="Times New Roman" w:cs="Times New Roman"/>
          <w:sz w:val="24"/>
          <w:szCs w:val="24"/>
          <w:lang w:val="es-CO" w:eastAsia="es-ES"/>
        </w:rPr>
      </w:pPr>
      <w:r w:rsidRPr="00546095">
        <w:rPr>
          <w:rFonts w:ascii="Times New Roman" w:eastAsia="Times New Roman" w:hAnsi="Times New Roman" w:cs="Times New Roman"/>
          <w:sz w:val="24"/>
          <w:szCs w:val="24"/>
          <w:lang w:eastAsia="es-ES"/>
        </w:rPr>
        <w:lastRenderedPageBreak/>
        <w:t>Zuluaga Correa, P. A. (2025). </w:t>
      </w:r>
      <w:r w:rsidRPr="00546095">
        <w:rPr>
          <w:rFonts w:ascii="Times New Roman" w:eastAsia="Times New Roman" w:hAnsi="Times New Roman" w:cs="Times New Roman"/>
          <w:i/>
          <w:iCs/>
          <w:sz w:val="24"/>
          <w:szCs w:val="24"/>
          <w:lang w:eastAsia="es-ES"/>
        </w:rPr>
        <w:t>Urgencia manifiesta en contratos estatales: una reflexión a partir del principio de transparencia</w:t>
      </w:r>
      <w:r w:rsidRPr="00546095">
        <w:rPr>
          <w:rFonts w:ascii="Times New Roman" w:eastAsia="Times New Roman" w:hAnsi="Times New Roman" w:cs="Times New Roman"/>
          <w:sz w:val="24"/>
          <w:szCs w:val="24"/>
          <w:lang w:eastAsia="es-ES"/>
        </w:rPr>
        <w:t>. Recuperado de: http://hdl.handle.net/11407/8771.</w:t>
      </w:r>
    </w:p>
    <w:p w14:paraId="627E6C39" w14:textId="75FF6A25" w:rsidR="00772815" w:rsidRDefault="00772815" w:rsidP="000E6109">
      <w:pPr>
        <w:widowControl w:val="0"/>
        <w:spacing w:after="0" w:line="480" w:lineRule="auto"/>
        <w:jc w:val="both"/>
        <w:rPr>
          <w:rFonts w:ascii="Times New Roman" w:hAnsi="Times New Roman" w:cs="Times New Roman"/>
          <w:sz w:val="24"/>
          <w:szCs w:val="24"/>
        </w:rPr>
      </w:pPr>
    </w:p>
    <w:sectPr w:rsidR="00772815" w:rsidSect="00327CDC">
      <w:headerReference w:type="default" r:id="rId18"/>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6765C" w14:textId="77777777" w:rsidR="00EF6C37" w:rsidRDefault="00EF6C37" w:rsidP="00286E02">
      <w:pPr>
        <w:spacing w:after="0" w:line="240" w:lineRule="auto"/>
      </w:pPr>
      <w:r>
        <w:separator/>
      </w:r>
    </w:p>
  </w:endnote>
  <w:endnote w:type="continuationSeparator" w:id="0">
    <w:p w14:paraId="1ED2D5FC" w14:textId="77777777" w:rsidR="00EF6C37" w:rsidRDefault="00EF6C37" w:rsidP="00286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4FAA" w14:textId="77777777" w:rsidR="00EF6C37" w:rsidRDefault="00EF6C37" w:rsidP="00286E02">
      <w:pPr>
        <w:spacing w:after="0" w:line="240" w:lineRule="auto"/>
      </w:pPr>
      <w:r>
        <w:separator/>
      </w:r>
    </w:p>
  </w:footnote>
  <w:footnote w:type="continuationSeparator" w:id="0">
    <w:p w14:paraId="0AC88ABE" w14:textId="77777777" w:rsidR="00EF6C37" w:rsidRDefault="00EF6C37" w:rsidP="00286E02">
      <w:pPr>
        <w:spacing w:after="0" w:line="240" w:lineRule="auto"/>
      </w:pPr>
      <w:r>
        <w:continuationSeparator/>
      </w:r>
    </w:p>
  </w:footnote>
  <w:footnote w:id="1">
    <w:p w14:paraId="541A949F" w14:textId="70B6AE01" w:rsidR="00B35DF6" w:rsidRDefault="00B35DF6" w:rsidP="0085485F">
      <w:pPr>
        <w:pStyle w:val="Textonotapie"/>
        <w:jc w:val="both"/>
        <w:rPr>
          <w:lang w:val="es-CO"/>
        </w:rPr>
      </w:pPr>
      <w:r>
        <w:rPr>
          <w:rStyle w:val="Refdenotaalpie"/>
        </w:rPr>
        <w:footnoteRef/>
      </w:r>
      <w:r>
        <w:t xml:space="preserve"> </w:t>
      </w:r>
      <w:r w:rsidRPr="00493B21">
        <w:rPr>
          <w:lang w:val="es-CO"/>
        </w:rPr>
        <w:t>Abogada, Miembro del Grupo de Investigación “Sociedad y Derecho” de la Universidad del Sinú Elías Bechara Zainum Seccional de Cartagena del Programa de Derecho. Coordinadora de Investigaciones, Docente Investigadora. Estudiante de Doctorado en Derecho, Magíster en Derecho y Especialista en Derecho Administrativo.</w:t>
      </w:r>
      <w:r>
        <w:rPr>
          <w:lang w:val="es-CO"/>
        </w:rPr>
        <w:t xml:space="preserve"> </w:t>
      </w:r>
      <w:hyperlink r:id="rId1" w:history="1">
        <w:r w:rsidR="00A846E0" w:rsidRPr="00E62E0B">
          <w:rPr>
            <w:rStyle w:val="Hipervnculo"/>
            <w:lang w:val="es-CO"/>
          </w:rPr>
          <w:t>https://orcid.org/0009-0009-1922-8439</w:t>
        </w:r>
      </w:hyperlink>
    </w:p>
    <w:p w14:paraId="01DB6351" w14:textId="77777777" w:rsidR="00A846E0" w:rsidRPr="00B35DF6" w:rsidRDefault="00A846E0">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4"/>
      <w:gridCol w:w="610"/>
    </w:tblGrid>
    <w:tr w:rsidR="00A50961" w:rsidRPr="00A50961" w14:paraId="2A3F71DE" w14:textId="77777777" w:rsidTr="00A50961">
      <w:tc>
        <w:tcPr>
          <w:tcW w:w="8784" w:type="dxa"/>
        </w:tcPr>
        <w:p w14:paraId="79E7ECC5" w14:textId="77777777" w:rsidR="008A08BC" w:rsidRPr="008A08BC" w:rsidRDefault="008A08BC" w:rsidP="008A08BC">
          <w:pPr>
            <w:pStyle w:val="Encabezado"/>
            <w:spacing w:line="360" w:lineRule="auto"/>
            <w:jc w:val="both"/>
            <w:rPr>
              <w:rFonts w:ascii="Times New Roman" w:hAnsi="Times New Roman" w:cs="Times New Roman"/>
              <w:sz w:val="24"/>
              <w:szCs w:val="24"/>
            </w:rPr>
          </w:pPr>
          <w:r w:rsidRPr="008A08BC">
            <w:rPr>
              <w:rFonts w:ascii="Times New Roman" w:hAnsi="Times New Roman" w:cs="Times New Roman"/>
              <w:sz w:val="24"/>
              <w:szCs w:val="24"/>
              <w:lang w:val="es-ES"/>
            </w:rPr>
            <w:t>EL PRINCIPIO DE SELECCIÓN OBJETIVA FRENTE A LA SUSCRIPCIÓN DE CONTRATOS ESTATALES EN CONTEXTOS DE URGENCIA MANIFIESTA</w:t>
          </w:r>
        </w:p>
        <w:p w14:paraId="1AA4C045" w14:textId="1A95A502" w:rsidR="00A50961" w:rsidRPr="00A50961" w:rsidRDefault="00A50961" w:rsidP="00A50961">
          <w:pPr>
            <w:pStyle w:val="Encabezado"/>
            <w:tabs>
              <w:tab w:val="clear" w:pos="4419"/>
              <w:tab w:val="clear" w:pos="8838"/>
            </w:tabs>
            <w:spacing w:line="360" w:lineRule="auto"/>
            <w:jc w:val="both"/>
            <w:rPr>
              <w:rFonts w:ascii="Times New Roman" w:hAnsi="Times New Roman" w:cs="Times New Roman"/>
              <w:sz w:val="24"/>
              <w:szCs w:val="24"/>
            </w:rPr>
          </w:pPr>
        </w:p>
      </w:tc>
      <w:tc>
        <w:tcPr>
          <w:tcW w:w="610" w:type="dxa"/>
        </w:tcPr>
        <w:p w14:paraId="3D70C4EC" w14:textId="77777777" w:rsidR="00A50961" w:rsidRPr="00A50961" w:rsidRDefault="00A50961" w:rsidP="00A50961">
          <w:pPr>
            <w:pStyle w:val="Encabezado"/>
            <w:tabs>
              <w:tab w:val="clear" w:pos="4419"/>
              <w:tab w:val="clear" w:pos="8838"/>
            </w:tabs>
            <w:spacing w:line="360" w:lineRule="auto"/>
            <w:jc w:val="right"/>
            <w:rPr>
              <w:rFonts w:ascii="Times New Roman" w:hAnsi="Times New Roman" w:cs="Times New Roman"/>
              <w:sz w:val="24"/>
              <w:szCs w:val="24"/>
            </w:rPr>
          </w:pPr>
          <w:r w:rsidRPr="00A50961">
            <w:rPr>
              <w:rFonts w:ascii="Times New Roman" w:hAnsi="Times New Roman" w:cs="Times New Roman"/>
              <w:sz w:val="24"/>
              <w:szCs w:val="24"/>
            </w:rPr>
            <w:fldChar w:fldCharType="begin"/>
          </w:r>
          <w:r w:rsidRPr="00A50961">
            <w:rPr>
              <w:rFonts w:ascii="Times New Roman" w:hAnsi="Times New Roman" w:cs="Times New Roman"/>
              <w:sz w:val="24"/>
              <w:szCs w:val="24"/>
            </w:rPr>
            <w:instrText>PAGE   \* MERGEFORMAT</w:instrText>
          </w:r>
          <w:r w:rsidRPr="00A50961">
            <w:rPr>
              <w:rFonts w:ascii="Times New Roman" w:hAnsi="Times New Roman" w:cs="Times New Roman"/>
              <w:sz w:val="24"/>
              <w:szCs w:val="24"/>
            </w:rPr>
            <w:fldChar w:fldCharType="separate"/>
          </w:r>
          <w:r w:rsidRPr="00A50961">
            <w:rPr>
              <w:rFonts w:ascii="Times New Roman" w:hAnsi="Times New Roman" w:cs="Times New Roman"/>
              <w:sz w:val="24"/>
              <w:szCs w:val="24"/>
              <w:lang w:val="es-ES"/>
            </w:rPr>
            <w:t>1</w:t>
          </w:r>
          <w:r w:rsidRPr="00A50961">
            <w:rPr>
              <w:rFonts w:ascii="Times New Roman" w:hAnsi="Times New Roman" w:cs="Times New Roman"/>
              <w:sz w:val="24"/>
              <w:szCs w:val="24"/>
            </w:rPr>
            <w:fldChar w:fldCharType="end"/>
          </w:r>
        </w:p>
      </w:tc>
    </w:tr>
  </w:tbl>
  <w:p w14:paraId="5F002D36" w14:textId="77777777" w:rsidR="00327CDC" w:rsidRDefault="00327CDC" w:rsidP="00A50961">
    <w:pPr>
      <w:pStyle w:val="Encabezado"/>
      <w:tabs>
        <w:tab w:val="clear" w:pos="4419"/>
        <w:tab w:val="clear" w:pos="8838"/>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4EFA"/>
    <w:multiLevelType w:val="hybridMultilevel"/>
    <w:tmpl w:val="11F43BAE"/>
    <w:lvl w:ilvl="0" w:tplc="107817EE">
      <w:start w:val="1"/>
      <w:numFmt w:val="bullet"/>
      <w:lvlText w:val="•"/>
      <w:lvlJc w:val="left"/>
      <w:pPr>
        <w:tabs>
          <w:tab w:val="num" w:pos="720"/>
        </w:tabs>
        <w:ind w:left="720" w:hanging="360"/>
      </w:pPr>
      <w:rPr>
        <w:rFonts w:ascii="Arial" w:hAnsi="Arial" w:hint="default"/>
      </w:rPr>
    </w:lvl>
    <w:lvl w:ilvl="1" w:tplc="73AE39F4" w:tentative="1">
      <w:start w:val="1"/>
      <w:numFmt w:val="bullet"/>
      <w:lvlText w:val="•"/>
      <w:lvlJc w:val="left"/>
      <w:pPr>
        <w:tabs>
          <w:tab w:val="num" w:pos="1440"/>
        </w:tabs>
        <w:ind w:left="1440" w:hanging="360"/>
      </w:pPr>
      <w:rPr>
        <w:rFonts w:ascii="Arial" w:hAnsi="Arial" w:hint="default"/>
      </w:rPr>
    </w:lvl>
    <w:lvl w:ilvl="2" w:tplc="96B8BFD6" w:tentative="1">
      <w:start w:val="1"/>
      <w:numFmt w:val="bullet"/>
      <w:lvlText w:val="•"/>
      <w:lvlJc w:val="left"/>
      <w:pPr>
        <w:tabs>
          <w:tab w:val="num" w:pos="2160"/>
        </w:tabs>
        <w:ind w:left="2160" w:hanging="360"/>
      </w:pPr>
      <w:rPr>
        <w:rFonts w:ascii="Arial" w:hAnsi="Arial" w:hint="default"/>
      </w:rPr>
    </w:lvl>
    <w:lvl w:ilvl="3" w:tplc="0D28FEDE" w:tentative="1">
      <w:start w:val="1"/>
      <w:numFmt w:val="bullet"/>
      <w:lvlText w:val="•"/>
      <w:lvlJc w:val="left"/>
      <w:pPr>
        <w:tabs>
          <w:tab w:val="num" w:pos="2880"/>
        </w:tabs>
        <w:ind w:left="2880" w:hanging="360"/>
      </w:pPr>
      <w:rPr>
        <w:rFonts w:ascii="Arial" w:hAnsi="Arial" w:hint="default"/>
      </w:rPr>
    </w:lvl>
    <w:lvl w:ilvl="4" w:tplc="247C0190" w:tentative="1">
      <w:start w:val="1"/>
      <w:numFmt w:val="bullet"/>
      <w:lvlText w:val="•"/>
      <w:lvlJc w:val="left"/>
      <w:pPr>
        <w:tabs>
          <w:tab w:val="num" w:pos="3600"/>
        </w:tabs>
        <w:ind w:left="3600" w:hanging="360"/>
      </w:pPr>
      <w:rPr>
        <w:rFonts w:ascii="Arial" w:hAnsi="Arial" w:hint="default"/>
      </w:rPr>
    </w:lvl>
    <w:lvl w:ilvl="5" w:tplc="504857EA" w:tentative="1">
      <w:start w:val="1"/>
      <w:numFmt w:val="bullet"/>
      <w:lvlText w:val="•"/>
      <w:lvlJc w:val="left"/>
      <w:pPr>
        <w:tabs>
          <w:tab w:val="num" w:pos="4320"/>
        </w:tabs>
        <w:ind w:left="4320" w:hanging="360"/>
      </w:pPr>
      <w:rPr>
        <w:rFonts w:ascii="Arial" w:hAnsi="Arial" w:hint="default"/>
      </w:rPr>
    </w:lvl>
    <w:lvl w:ilvl="6" w:tplc="3DBCC646" w:tentative="1">
      <w:start w:val="1"/>
      <w:numFmt w:val="bullet"/>
      <w:lvlText w:val="•"/>
      <w:lvlJc w:val="left"/>
      <w:pPr>
        <w:tabs>
          <w:tab w:val="num" w:pos="5040"/>
        </w:tabs>
        <w:ind w:left="5040" w:hanging="360"/>
      </w:pPr>
      <w:rPr>
        <w:rFonts w:ascii="Arial" w:hAnsi="Arial" w:hint="default"/>
      </w:rPr>
    </w:lvl>
    <w:lvl w:ilvl="7" w:tplc="2800D516" w:tentative="1">
      <w:start w:val="1"/>
      <w:numFmt w:val="bullet"/>
      <w:lvlText w:val="•"/>
      <w:lvlJc w:val="left"/>
      <w:pPr>
        <w:tabs>
          <w:tab w:val="num" w:pos="5760"/>
        </w:tabs>
        <w:ind w:left="5760" w:hanging="360"/>
      </w:pPr>
      <w:rPr>
        <w:rFonts w:ascii="Arial" w:hAnsi="Arial" w:hint="default"/>
      </w:rPr>
    </w:lvl>
    <w:lvl w:ilvl="8" w:tplc="5276F08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53352A"/>
    <w:multiLevelType w:val="hybridMultilevel"/>
    <w:tmpl w:val="A496A078"/>
    <w:lvl w:ilvl="0" w:tplc="97621DEE">
      <w:start w:val="1"/>
      <w:numFmt w:val="bullet"/>
      <w:lvlText w:val="•"/>
      <w:lvlJc w:val="left"/>
      <w:pPr>
        <w:tabs>
          <w:tab w:val="num" w:pos="720"/>
        </w:tabs>
        <w:ind w:left="720" w:hanging="360"/>
      </w:pPr>
      <w:rPr>
        <w:rFonts w:ascii="Arial" w:hAnsi="Arial" w:hint="default"/>
      </w:rPr>
    </w:lvl>
    <w:lvl w:ilvl="1" w:tplc="9A761714" w:tentative="1">
      <w:start w:val="1"/>
      <w:numFmt w:val="bullet"/>
      <w:lvlText w:val="•"/>
      <w:lvlJc w:val="left"/>
      <w:pPr>
        <w:tabs>
          <w:tab w:val="num" w:pos="1440"/>
        </w:tabs>
        <w:ind w:left="1440" w:hanging="360"/>
      </w:pPr>
      <w:rPr>
        <w:rFonts w:ascii="Arial" w:hAnsi="Arial" w:hint="default"/>
      </w:rPr>
    </w:lvl>
    <w:lvl w:ilvl="2" w:tplc="D6A27F32" w:tentative="1">
      <w:start w:val="1"/>
      <w:numFmt w:val="bullet"/>
      <w:lvlText w:val="•"/>
      <w:lvlJc w:val="left"/>
      <w:pPr>
        <w:tabs>
          <w:tab w:val="num" w:pos="2160"/>
        </w:tabs>
        <w:ind w:left="2160" w:hanging="360"/>
      </w:pPr>
      <w:rPr>
        <w:rFonts w:ascii="Arial" w:hAnsi="Arial" w:hint="default"/>
      </w:rPr>
    </w:lvl>
    <w:lvl w:ilvl="3" w:tplc="222080F4" w:tentative="1">
      <w:start w:val="1"/>
      <w:numFmt w:val="bullet"/>
      <w:lvlText w:val="•"/>
      <w:lvlJc w:val="left"/>
      <w:pPr>
        <w:tabs>
          <w:tab w:val="num" w:pos="2880"/>
        </w:tabs>
        <w:ind w:left="2880" w:hanging="360"/>
      </w:pPr>
      <w:rPr>
        <w:rFonts w:ascii="Arial" w:hAnsi="Arial" w:hint="default"/>
      </w:rPr>
    </w:lvl>
    <w:lvl w:ilvl="4" w:tplc="A990ADC4" w:tentative="1">
      <w:start w:val="1"/>
      <w:numFmt w:val="bullet"/>
      <w:lvlText w:val="•"/>
      <w:lvlJc w:val="left"/>
      <w:pPr>
        <w:tabs>
          <w:tab w:val="num" w:pos="3600"/>
        </w:tabs>
        <w:ind w:left="3600" w:hanging="360"/>
      </w:pPr>
      <w:rPr>
        <w:rFonts w:ascii="Arial" w:hAnsi="Arial" w:hint="default"/>
      </w:rPr>
    </w:lvl>
    <w:lvl w:ilvl="5" w:tplc="DA241CF2" w:tentative="1">
      <w:start w:val="1"/>
      <w:numFmt w:val="bullet"/>
      <w:lvlText w:val="•"/>
      <w:lvlJc w:val="left"/>
      <w:pPr>
        <w:tabs>
          <w:tab w:val="num" w:pos="4320"/>
        </w:tabs>
        <w:ind w:left="4320" w:hanging="360"/>
      </w:pPr>
      <w:rPr>
        <w:rFonts w:ascii="Arial" w:hAnsi="Arial" w:hint="default"/>
      </w:rPr>
    </w:lvl>
    <w:lvl w:ilvl="6" w:tplc="C5168FEC" w:tentative="1">
      <w:start w:val="1"/>
      <w:numFmt w:val="bullet"/>
      <w:lvlText w:val="•"/>
      <w:lvlJc w:val="left"/>
      <w:pPr>
        <w:tabs>
          <w:tab w:val="num" w:pos="5040"/>
        </w:tabs>
        <w:ind w:left="5040" w:hanging="360"/>
      </w:pPr>
      <w:rPr>
        <w:rFonts w:ascii="Arial" w:hAnsi="Arial" w:hint="default"/>
      </w:rPr>
    </w:lvl>
    <w:lvl w:ilvl="7" w:tplc="FB8A9288" w:tentative="1">
      <w:start w:val="1"/>
      <w:numFmt w:val="bullet"/>
      <w:lvlText w:val="•"/>
      <w:lvlJc w:val="left"/>
      <w:pPr>
        <w:tabs>
          <w:tab w:val="num" w:pos="5760"/>
        </w:tabs>
        <w:ind w:left="5760" w:hanging="360"/>
      </w:pPr>
      <w:rPr>
        <w:rFonts w:ascii="Arial" w:hAnsi="Arial" w:hint="default"/>
      </w:rPr>
    </w:lvl>
    <w:lvl w:ilvl="8" w:tplc="CE16D42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4044FD4"/>
    <w:multiLevelType w:val="hybridMultilevel"/>
    <w:tmpl w:val="6016AC10"/>
    <w:lvl w:ilvl="0" w:tplc="82965CDC">
      <w:start w:val="1"/>
      <w:numFmt w:val="bullet"/>
      <w:lvlText w:val="•"/>
      <w:lvlJc w:val="left"/>
      <w:pPr>
        <w:tabs>
          <w:tab w:val="num" w:pos="720"/>
        </w:tabs>
        <w:ind w:left="720" w:hanging="360"/>
      </w:pPr>
      <w:rPr>
        <w:rFonts w:ascii="Arial" w:hAnsi="Arial" w:hint="default"/>
      </w:rPr>
    </w:lvl>
    <w:lvl w:ilvl="1" w:tplc="E1285998" w:tentative="1">
      <w:start w:val="1"/>
      <w:numFmt w:val="bullet"/>
      <w:lvlText w:val="•"/>
      <w:lvlJc w:val="left"/>
      <w:pPr>
        <w:tabs>
          <w:tab w:val="num" w:pos="1440"/>
        </w:tabs>
        <w:ind w:left="1440" w:hanging="360"/>
      </w:pPr>
      <w:rPr>
        <w:rFonts w:ascii="Arial" w:hAnsi="Arial" w:hint="default"/>
      </w:rPr>
    </w:lvl>
    <w:lvl w:ilvl="2" w:tplc="75C0A2EE" w:tentative="1">
      <w:start w:val="1"/>
      <w:numFmt w:val="bullet"/>
      <w:lvlText w:val="•"/>
      <w:lvlJc w:val="left"/>
      <w:pPr>
        <w:tabs>
          <w:tab w:val="num" w:pos="2160"/>
        </w:tabs>
        <w:ind w:left="2160" w:hanging="360"/>
      </w:pPr>
      <w:rPr>
        <w:rFonts w:ascii="Arial" w:hAnsi="Arial" w:hint="default"/>
      </w:rPr>
    </w:lvl>
    <w:lvl w:ilvl="3" w:tplc="2378059A" w:tentative="1">
      <w:start w:val="1"/>
      <w:numFmt w:val="bullet"/>
      <w:lvlText w:val="•"/>
      <w:lvlJc w:val="left"/>
      <w:pPr>
        <w:tabs>
          <w:tab w:val="num" w:pos="2880"/>
        </w:tabs>
        <w:ind w:left="2880" w:hanging="360"/>
      </w:pPr>
      <w:rPr>
        <w:rFonts w:ascii="Arial" w:hAnsi="Arial" w:hint="default"/>
      </w:rPr>
    </w:lvl>
    <w:lvl w:ilvl="4" w:tplc="1EB0B384" w:tentative="1">
      <w:start w:val="1"/>
      <w:numFmt w:val="bullet"/>
      <w:lvlText w:val="•"/>
      <w:lvlJc w:val="left"/>
      <w:pPr>
        <w:tabs>
          <w:tab w:val="num" w:pos="3600"/>
        </w:tabs>
        <w:ind w:left="3600" w:hanging="360"/>
      </w:pPr>
      <w:rPr>
        <w:rFonts w:ascii="Arial" w:hAnsi="Arial" w:hint="default"/>
      </w:rPr>
    </w:lvl>
    <w:lvl w:ilvl="5" w:tplc="7C0A0396" w:tentative="1">
      <w:start w:val="1"/>
      <w:numFmt w:val="bullet"/>
      <w:lvlText w:val="•"/>
      <w:lvlJc w:val="left"/>
      <w:pPr>
        <w:tabs>
          <w:tab w:val="num" w:pos="4320"/>
        </w:tabs>
        <w:ind w:left="4320" w:hanging="360"/>
      </w:pPr>
      <w:rPr>
        <w:rFonts w:ascii="Arial" w:hAnsi="Arial" w:hint="default"/>
      </w:rPr>
    </w:lvl>
    <w:lvl w:ilvl="6" w:tplc="CF1850CE" w:tentative="1">
      <w:start w:val="1"/>
      <w:numFmt w:val="bullet"/>
      <w:lvlText w:val="•"/>
      <w:lvlJc w:val="left"/>
      <w:pPr>
        <w:tabs>
          <w:tab w:val="num" w:pos="5040"/>
        </w:tabs>
        <w:ind w:left="5040" w:hanging="360"/>
      </w:pPr>
      <w:rPr>
        <w:rFonts w:ascii="Arial" w:hAnsi="Arial" w:hint="default"/>
      </w:rPr>
    </w:lvl>
    <w:lvl w:ilvl="7" w:tplc="4BB842D6" w:tentative="1">
      <w:start w:val="1"/>
      <w:numFmt w:val="bullet"/>
      <w:lvlText w:val="•"/>
      <w:lvlJc w:val="left"/>
      <w:pPr>
        <w:tabs>
          <w:tab w:val="num" w:pos="5760"/>
        </w:tabs>
        <w:ind w:left="5760" w:hanging="360"/>
      </w:pPr>
      <w:rPr>
        <w:rFonts w:ascii="Arial" w:hAnsi="Arial" w:hint="default"/>
      </w:rPr>
    </w:lvl>
    <w:lvl w:ilvl="8" w:tplc="6428CE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F51B1"/>
    <w:multiLevelType w:val="hybridMultilevel"/>
    <w:tmpl w:val="D4C29640"/>
    <w:lvl w:ilvl="0" w:tplc="94CCC3C4">
      <w:start w:val="4"/>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D5D66B8"/>
    <w:multiLevelType w:val="hybridMultilevel"/>
    <w:tmpl w:val="BDCA8FE0"/>
    <w:lvl w:ilvl="0" w:tplc="262E2E80">
      <w:start w:val="1"/>
      <w:numFmt w:val="bullet"/>
      <w:lvlText w:val="•"/>
      <w:lvlJc w:val="left"/>
      <w:pPr>
        <w:tabs>
          <w:tab w:val="num" w:pos="720"/>
        </w:tabs>
        <w:ind w:left="720" w:hanging="360"/>
      </w:pPr>
      <w:rPr>
        <w:rFonts w:ascii="Arial" w:hAnsi="Arial" w:hint="default"/>
      </w:rPr>
    </w:lvl>
    <w:lvl w:ilvl="1" w:tplc="355A4AB4" w:tentative="1">
      <w:start w:val="1"/>
      <w:numFmt w:val="bullet"/>
      <w:lvlText w:val="•"/>
      <w:lvlJc w:val="left"/>
      <w:pPr>
        <w:tabs>
          <w:tab w:val="num" w:pos="1440"/>
        </w:tabs>
        <w:ind w:left="1440" w:hanging="360"/>
      </w:pPr>
      <w:rPr>
        <w:rFonts w:ascii="Arial" w:hAnsi="Arial" w:hint="default"/>
      </w:rPr>
    </w:lvl>
    <w:lvl w:ilvl="2" w:tplc="35EC00AC" w:tentative="1">
      <w:start w:val="1"/>
      <w:numFmt w:val="bullet"/>
      <w:lvlText w:val="•"/>
      <w:lvlJc w:val="left"/>
      <w:pPr>
        <w:tabs>
          <w:tab w:val="num" w:pos="2160"/>
        </w:tabs>
        <w:ind w:left="2160" w:hanging="360"/>
      </w:pPr>
      <w:rPr>
        <w:rFonts w:ascii="Arial" w:hAnsi="Arial" w:hint="default"/>
      </w:rPr>
    </w:lvl>
    <w:lvl w:ilvl="3" w:tplc="312E0432" w:tentative="1">
      <w:start w:val="1"/>
      <w:numFmt w:val="bullet"/>
      <w:lvlText w:val="•"/>
      <w:lvlJc w:val="left"/>
      <w:pPr>
        <w:tabs>
          <w:tab w:val="num" w:pos="2880"/>
        </w:tabs>
        <w:ind w:left="2880" w:hanging="360"/>
      </w:pPr>
      <w:rPr>
        <w:rFonts w:ascii="Arial" w:hAnsi="Arial" w:hint="default"/>
      </w:rPr>
    </w:lvl>
    <w:lvl w:ilvl="4" w:tplc="5DE0EA62" w:tentative="1">
      <w:start w:val="1"/>
      <w:numFmt w:val="bullet"/>
      <w:lvlText w:val="•"/>
      <w:lvlJc w:val="left"/>
      <w:pPr>
        <w:tabs>
          <w:tab w:val="num" w:pos="3600"/>
        </w:tabs>
        <w:ind w:left="3600" w:hanging="360"/>
      </w:pPr>
      <w:rPr>
        <w:rFonts w:ascii="Arial" w:hAnsi="Arial" w:hint="default"/>
      </w:rPr>
    </w:lvl>
    <w:lvl w:ilvl="5" w:tplc="31DE693A" w:tentative="1">
      <w:start w:val="1"/>
      <w:numFmt w:val="bullet"/>
      <w:lvlText w:val="•"/>
      <w:lvlJc w:val="left"/>
      <w:pPr>
        <w:tabs>
          <w:tab w:val="num" w:pos="4320"/>
        </w:tabs>
        <w:ind w:left="4320" w:hanging="360"/>
      </w:pPr>
      <w:rPr>
        <w:rFonts w:ascii="Arial" w:hAnsi="Arial" w:hint="default"/>
      </w:rPr>
    </w:lvl>
    <w:lvl w:ilvl="6" w:tplc="5CA801F2" w:tentative="1">
      <w:start w:val="1"/>
      <w:numFmt w:val="bullet"/>
      <w:lvlText w:val="•"/>
      <w:lvlJc w:val="left"/>
      <w:pPr>
        <w:tabs>
          <w:tab w:val="num" w:pos="5040"/>
        </w:tabs>
        <w:ind w:left="5040" w:hanging="360"/>
      </w:pPr>
      <w:rPr>
        <w:rFonts w:ascii="Arial" w:hAnsi="Arial" w:hint="default"/>
      </w:rPr>
    </w:lvl>
    <w:lvl w:ilvl="7" w:tplc="0832A676" w:tentative="1">
      <w:start w:val="1"/>
      <w:numFmt w:val="bullet"/>
      <w:lvlText w:val="•"/>
      <w:lvlJc w:val="left"/>
      <w:pPr>
        <w:tabs>
          <w:tab w:val="num" w:pos="5760"/>
        </w:tabs>
        <w:ind w:left="5760" w:hanging="360"/>
      </w:pPr>
      <w:rPr>
        <w:rFonts w:ascii="Arial" w:hAnsi="Arial" w:hint="default"/>
      </w:rPr>
    </w:lvl>
    <w:lvl w:ilvl="8" w:tplc="9BE89F8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FF43E86"/>
    <w:multiLevelType w:val="hybridMultilevel"/>
    <w:tmpl w:val="B8DAF1C2"/>
    <w:lvl w:ilvl="0" w:tplc="36188D4E">
      <w:start w:val="1"/>
      <w:numFmt w:val="bullet"/>
      <w:lvlText w:val="•"/>
      <w:lvlJc w:val="left"/>
      <w:pPr>
        <w:tabs>
          <w:tab w:val="num" w:pos="720"/>
        </w:tabs>
        <w:ind w:left="720" w:hanging="360"/>
      </w:pPr>
      <w:rPr>
        <w:rFonts w:ascii="Arial" w:hAnsi="Arial" w:hint="default"/>
      </w:rPr>
    </w:lvl>
    <w:lvl w:ilvl="1" w:tplc="84008340" w:tentative="1">
      <w:start w:val="1"/>
      <w:numFmt w:val="bullet"/>
      <w:lvlText w:val="•"/>
      <w:lvlJc w:val="left"/>
      <w:pPr>
        <w:tabs>
          <w:tab w:val="num" w:pos="1440"/>
        </w:tabs>
        <w:ind w:left="1440" w:hanging="360"/>
      </w:pPr>
      <w:rPr>
        <w:rFonts w:ascii="Arial" w:hAnsi="Arial" w:hint="default"/>
      </w:rPr>
    </w:lvl>
    <w:lvl w:ilvl="2" w:tplc="9BA22EA8" w:tentative="1">
      <w:start w:val="1"/>
      <w:numFmt w:val="bullet"/>
      <w:lvlText w:val="•"/>
      <w:lvlJc w:val="left"/>
      <w:pPr>
        <w:tabs>
          <w:tab w:val="num" w:pos="2160"/>
        </w:tabs>
        <w:ind w:left="2160" w:hanging="360"/>
      </w:pPr>
      <w:rPr>
        <w:rFonts w:ascii="Arial" w:hAnsi="Arial" w:hint="default"/>
      </w:rPr>
    </w:lvl>
    <w:lvl w:ilvl="3" w:tplc="6F684132" w:tentative="1">
      <w:start w:val="1"/>
      <w:numFmt w:val="bullet"/>
      <w:lvlText w:val="•"/>
      <w:lvlJc w:val="left"/>
      <w:pPr>
        <w:tabs>
          <w:tab w:val="num" w:pos="2880"/>
        </w:tabs>
        <w:ind w:left="2880" w:hanging="360"/>
      </w:pPr>
      <w:rPr>
        <w:rFonts w:ascii="Arial" w:hAnsi="Arial" w:hint="default"/>
      </w:rPr>
    </w:lvl>
    <w:lvl w:ilvl="4" w:tplc="6840F71A" w:tentative="1">
      <w:start w:val="1"/>
      <w:numFmt w:val="bullet"/>
      <w:lvlText w:val="•"/>
      <w:lvlJc w:val="left"/>
      <w:pPr>
        <w:tabs>
          <w:tab w:val="num" w:pos="3600"/>
        </w:tabs>
        <w:ind w:left="3600" w:hanging="360"/>
      </w:pPr>
      <w:rPr>
        <w:rFonts w:ascii="Arial" w:hAnsi="Arial" w:hint="default"/>
      </w:rPr>
    </w:lvl>
    <w:lvl w:ilvl="5" w:tplc="691E332A" w:tentative="1">
      <w:start w:val="1"/>
      <w:numFmt w:val="bullet"/>
      <w:lvlText w:val="•"/>
      <w:lvlJc w:val="left"/>
      <w:pPr>
        <w:tabs>
          <w:tab w:val="num" w:pos="4320"/>
        </w:tabs>
        <w:ind w:left="4320" w:hanging="360"/>
      </w:pPr>
      <w:rPr>
        <w:rFonts w:ascii="Arial" w:hAnsi="Arial" w:hint="default"/>
      </w:rPr>
    </w:lvl>
    <w:lvl w:ilvl="6" w:tplc="22068988" w:tentative="1">
      <w:start w:val="1"/>
      <w:numFmt w:val="bullet"/>
      <w:lvlText w:val="•"/>
      <w:lvlJc w:val="left"/>
      <w:pPr>
        <w:tabs>
          <w:tab w:val="num" w:pos="5040"/>
        </w:tabs>
        <w:ind w:left="5040" w:hanging="360"/>
      </w:pPr>
      <w:rPr>
        <w:rFonts w:ascii="Arial" w:hAnsi="Arial" w:hint="default"/>
      </w:rPr>
    </w:lvl>
    <w:lvl w:ilvl="7" w:tplc="A254EEB4" w:tentative="1">
      <w:start w:val="1"/>
      <w:numFmt w:val="bullet"/>
      <w:lvlText w:val="•"/>
      <w:lvlJc w:val="left"/>
      <w:pPr>
        <w:tabs>
          <w:tab w:val="num" w:pos="5760"/>
        </w:tabs>
        <w:ind w:left="5760" w:hanging="360"/>
      </w:pPr>
      <w:rPr>
        <w:rFonts w:ascii="Arial" w:hAnsi="Arial" w:hint="default"/>
      </w:rPr>
    </w:lvl>
    <w:lvl w:ilvl="8" w:tplc="FD681E7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07E5A53"/>
    <w:multiLevelType w:val="hybridMultilevel"/>
    <w:tmpl w:val="831A012C"/>
    <w:lvl w:ilvl="0" w:tplc="7688AA5E">
      <w:start w:val="1"/>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F230A0"/>
    <w:multiLevelType w:val="hybridMultilevel"/>
    <w:tmpl w:val="84F04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C9694D"/>
    <w:multiLevelType w:val="hybridMultilevel"/>
    <w:tmpl w:val="2B5481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690574B"/>
    <w:multiLevelType w:val="hybridMultilevel"/>
    <w:tmpl w:val="33EC3AA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17136C47"/>
    <w:multiLevelType w:val="hybridMultilevel"/>
    <w:tmpl w:val="422ACF68"/>
    <w:lvl w:ilvl="0" w:tplc="3E7A4B5A">
      <w:start w:val="1"/>
      <w:numFmt w:val="bullet"/>
      <w:lvlText w:val="•"/>
      <w:lvlJc w:val="left"/>
      <w:pPr>
        <w:tabs>
          <w:tab w:val="num" w:pos="720"/>
        </w:tabs>
        <w:ind w:left="720" w:hanging="360"/>
      </w:pPr>
      <w:rPr>
        <w:rFonts w:ascii="Arial" w:hAnsi="Arial" w:hint="default"/>
      </w:rPr>
    </w:lvl>
    <w:lvl w:ilvl="1" w:tplc="419A4768" w:tentative="1">
      <w:start w:val="1"/>
      <w:numFmt w:val="bullet"/>
      <w:lvlText w:val="•"/>
      <w:lvlJc w:val="left"/>
      <w:pPr>
        <w:tabs>
          <w:tab w:val="num" w:pos="1440"/>
        </w:tabs>
        <w:ind w:left="1440" w:hanging="360"/>
      </w:pPr>
      <w:rPr>
        <w:rFonts w:ascii="Arial" w:hAnsi="Arial" w:hint="default"/>
      </w:rPr>
    </w:lvl>
    <w:lvl w:ilvl="2" w:tplc="D2907B86" w:tentative="1">
      <w:start w:val="1"/>
      <w:numFmt w:val="bullet"/>
      <w:lvlText w:val="•"/>
      <w:lvlJc w:val="left"/>
      <w:pPr>
        <w:tabs>
          <w:tab w:val="num" w:pos="2160"/>
        </w:tabs>
        <w:ind w:left="2160" w:hanging="360"/>
      </w:pPr>
      <w:rPr>
        <w:rFonts w:ascii="Arial" w:hAnsi="Arial" w:hint="default"/>
      </w:rPr>
    </w:lvl>
    <w:lvl w:ilvl="3" w:tplc="23386432" w:tentative="1">
      <w:start w:val="1"/>
      <w:numFmt w:val="bullet"/>
      <w:lvlText w:val="•"/>
      <w:lvlJc w:val="left"/>
      <w:pPr>
        <w:tabs>
          <w:tab w:val="num" w:pos="2880"/>
        </w:tabs>
        <w:ind w:left="2880" w:hanging="360"/>
      </w:pPr>
      <w:rPr>
        <w:rFonts w:ascii="Arial" w:hAnsi="Arial" w:hint="default"/>
      </w:rPr>
    </w:lvl>
    <w:lvl w:ilvl="4" w:tplc="72A80CDE" w:tentative="1">
      <w:start w:val="1"/>
      <w:numFmt w:val="bullet"/>
      <w:lvlText w:val="•"/>
      <w:lvlJc w:val="left"/>
      <w:pPr>
        <w:tabs>
          <w:tab w:val="num" w:pos="3600"/>
        </w:tabs>
        <w:ind w:left="3600" w:hanging="360"/>
      </w:pPr>
      <w:rPr>
        <w:rFonts w:ascii="Arial" w:hAnsi="Arial" w:hint="default"/>
      </w:rPr>
    </w:lvl>
    <w:lvl w:ilvl="5" w:tplc="E6142ACC" w:tentative="1">
      <w:start w:val="1"/>
      <w:numFmt w:val="bullet"/>
      <w:lvlText w:val="•"/>
      <w:lvlJc w:val="left"/>
      <w:pPr>
        <w:tabs>
          <w:tab w:val="num" w:pos="4320"/>
        </w:tabs>
        <w:ind w:left="4320" w:hanging="360"/>
      </w:pPr>
      <w:rPr>
        <w:rFonts w:ascii="Arial" w:hAnsi="Arial" w:hint="default"/>
      </w:rPr>
    </w:lvl>
    <w:lvl w:ilvl="6" w:tplc="1E085F86" w:tentative="1">
      <w:start w:val="1"/>
      <w:numFmt w:val="bullet"/>
      <w:lvlText w:val="•"/>
      <w:lvlJc w:val="left"/>
      <w:pPr>
        <w:tabs>
          <w:tab w:val="num" w:pos="5040"/>
        </w:tabs>
        <w:ind w:left="5040" w:hanging="360"/>
      </w:pPr>
      <w:rPr>
        <w:rFonts w:ascii="Arial" w:hAnsi="Arial" w:hint="default"/>
      </w:rPr>
    </w:lvl>
    <w:lvl w:ilvl="7" w:tplc="EBC81886" w:tentative="1">
      <w:start w:val="1"/>
      <w:numFmt w:val="bullet"/>
      <w:lvlText w:val="•"/>
      <w:lvlJc w:val="left"/>
      <w:pPr>
        <w:tabs>
          <w:tab w:val="num" w:pos="5760"/>
        </w:tabs>
        <w:ind w:left="5760" w:hanging="360"/>
      </w:pPr>
      <w:rPr>
        <w:rFonts w:ascii="Arial" w:hAnsi="Arial" w:hint="default"/>
      </w:rPr>
    </w:lvl>
    <w:lvl w:ilvl="8" w:tplc="22F0DE6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96395B"/>
    <w:multiLevelType w:val="hybridMultilevel"/>
    <w:tmpl w:val="50148A02"/>
    <w:lvl w:ilvl="0" w:tplc="01707D22">
      <w:start w:val="1"/>
      <w:numFmt w:val="bullet"/>
      <w:lvlText w:val="•"/>
      <w:lvlJc w:val="left"/>
      <w:pPr>
        <w:tabs>
          <w:tab w:val="num" w:pos="720"/>
        </w:tabs>
        <w:ind w:left="720" w:hanging="360"/>
      </w:pPr>
      <w:rPr>
        <w:rFonts w:ascii="Arial" w:hAnsi="Arial" w:hint="default"/>
      </w:rPr>
    </w:lvl>
    <w:lvl w:ilvl="1" w:tplc="072ECDCE" w:tentative="1">
      <w:start w:val="1"/>
      <w:numFmt w:val="bullet"/>
      <w:lvlText w:val="•"/>
      <w:lvlJc w:val="left"/>
      <w:pPr>
        <w:tabs>
          <w:tab w:val="num" w:pos="1440"/>
        </w:tabs>
        <w:ind w:left="1440" w:hanging="360"/>
      </w:pPr>
      <w:rPr>
        <w:rFonts w:ascii="Arial" w:hAnsi="Arial" w:hint="default"/>
      </w:rPr>
    </w:lvl>
    <w:lvl w:ilvl="2" w:tplc="CF3265D4" w:tentative="1">
      <w:start w:val="1"/>
      <w:numFmt w:val="bullet"/>
      <w:lvlText w:val="•"/>
      <w:lvlJc w:val="left"/>
      <w:pPr>
        <w:tabs>
          <w:tab w:val="num" w:pos="2160"/>
        </w:tabs>
        <w:ind w:left="2160" w:hanging="360"/>
      </w:pPr>
      <w:rPr>
        <w:rFonts w:ascii="Arial" w:hAnsi="Arial" w:hint="default"/>
      </w:rPr>
    </w:lvl>
    <w:lvl w:ilvl="3" w:tplc="D488F7E8" w:tentative="1">
      <w:start w:val="1"/>
      <w:numFmt w:val="bullet"/>
      <w:lvlText w:val="•"/>
      <w:lvlJc w:val="left"/>
      <w:pPr>
        <w:tabs>
          <w:tab w:val="num" w:pos="2880"/>
        </w:tabs>
        <w:ind w:left="2880" w:hanging="360"/>
      </w:pPr>
      <w:rPr>
        <w:rFonts w:ascii="Arial" w:hAnsi="Arial" w:hint="default"/>
      </w:rPr>
    </w:lvl>
    <w:lvl w:ilvl="4" w:tplc="389AD6EE" w:tentative="1">
      <w:start w:val="1"/>
      <w:numFmt w:val="bullet"/>
      <w:lvlText w:val="•"/>
      <w:lvlJc w:val="left"/>
      <w:pPr>
        <w:tabs>
          <w:tab w:val="num" w:pos="3600"/>
        </w:tabs>
        <w:ind w:left="3600" w:hanging="360"/>
      </w:pPr>
      <w:rPr>
        <w:rFonts w:ascii="Arial" w:hAnsi="Arial" w:hint="default"/>
      </w:rPr>
    </w:lvl>
    <w:lvl w:ilvl="5" w:tplc="F36ACE34" w:tentative="1">
      <w:start w:val="1"/>
      <w:numFmt w:val="bullet"/>
      <w:lvlText w:val="•"/>
      <w:lvlJc w:val="left"/>
      <w:pPr>
        <w:tabs>
          <w:tab w:val="num" w:pos="4320"/>
        </w:tabs>
        <w:ind w:left="4320" w:hanging="360"/>
      </w:pPr>
      <w:rPr>
        <w:rFonts w:ascii="Arial" w:hAnsi="Arial" w:hint="default"/>
      </w:rPr>
    </w:lvl>
    <w:lvl w:ilvl="6" w:tplc="5A96AC7A" w:tentative="1">
      <w:start w:val="1"/>
      <w:numFmt w:val="bullet"/>
      <w:lvlText w:val="•"/>
      <w:lvlJc w:val="left"/>
      <w:pPr>
        <w:tabs>
          <w:tab w:val="num" w:pos="5040"/>
        </w:tabs>
        <w:ind w:left="5040" w:hanging="360"/>
      </w:pPr>
      <w:rPr>
        <w:rFonts w:ascii="Arial" w:hAnsi="Arial" w:hint="default"/>
      </w:rPr>
    </w:lvl>
    <w:lvl w:ilvl="7" w:tplc="5D0C2DC6" w:tentative="1">
      <w:start w:val="1"/>
      <w:numFmt w:val="bullet"/>
      <w:lvlText w:val="•"/>
      <w:lvlJc w:val="left"/>
      <w:pPr>
        <w:tabs>
          <w:tab w:val="num" w:pos="5760"/>
        </w:tabs>
        <w:ind w:left="5760" w:hanging="360"/>
      </w:pPr>
      <w:rPr>
        <w:rFonts w:ascii="Arial" w:hAnsi="Arial" w:hint="default"/>
      </w:rPr>
    </w:lvl>
    <w:lvl w:ilvl="8" w:tplc="49548A7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8D6496F"/>
    <w:multiLevelType w:val="hybridMultilevel"/>
    <w:tmpl w:val="F3C0CF5A"/>
    <w:lvl w:ilvl="0" w:tplc="59B05132">
      <w:start w:val="1"/>
      <w:numFmt w:val="bullet"/>
      <w:lvlText w:val="•"/>
      <w:lvlJc w:val="left"/>
      <w:pPr>
        <w:tabs>
          <w:tab w:val="num" w:pos="720"/>
        </w:tabs>
        <w:ind w:left="720" w:hanging="360"/>
      </w:pPr>
      <w:rPr>
        <w:rFonts w:ascii="Arial" w:hAnsi="Arial" w:hint="default"/>
      </w:rPr>
    </w:lvl>
    <w:lvl w:ilvl="1" w:tplc="3FF88AB8" w:tentative="1">
      <w:start w:val="1"/>
      <w:numFmt w:val="bullet"/>
      <w:lvlText w:val="•"/>
      <w:lvlJc w:val="left"/>
      <w:pPr>
        <w:tabs>
          <w:tab w:val="num" w:pos="1440"/>
        </w:tabs>
        <w:ind w:left="1440" w:hanging="360"/>
      </w:pPr>
      <w:rPr>
        <w:rFonts w:ascii="Arial" w:hAnsi="Arial" w:hint="default"/>
      </w:rPr>
    </w:lvl>
    <w:lvl w:ilvl="2" w:tplc="3EBC3E00" w:tentative="1">
      <w:start w:val="1"/>
      <w:numFmt w:val="bullet"/>
      <w:lvlText w:val="•"/>
      <w:lvlJc w:val="left"/>
      <w:pPr>
        <w:tabs>
          <w:tab w:val="num" w:pos="2160"/>
        </w:tabs>
        <w:ind w:left="2160" w:hanging="360"/>
      </w:pPr>
      <w:rPr>
        <w:rFonts w:ascii="Arial" w:hAnsi="Arial" w:hint="default"/>
      </w:rPr>
    </w:lvl>
    <w:lvl w:ilvl="3" w:tplc="D9D0C3B8" w:tentative="1">
      <w:start w:val="1"/>
      <w:numFmt w:val="bullet"/>
      <w:lvlText w:val="•"/>
      <w:lvlJc w:val="left"/>
      <w:pPr>
        <w:tabs>
          <w:tab w:val="num" w:pos="2880"/>
        </w:tabs>
        <w:ind w:left="2880" w:hanging="360"/>
      </w:pPr>
      <w:rPr>
        <w:rFonts w:ascii="Arial" w:hAnsi="Arial" w:hint="default"/>
      </w:rPr>
    </w:lvl>
    <w:lvl w:ilvl="4" w:tplc="FE44FB18" w:tentative="1">
      <w:start w:val="1"/>
      <w:numFmt w:val="bullet"/>
      <w:lvlText w:val="•"/>
      <w:lvlJc w:val="left"/>
      <w:pPr>
        <w:tabs>
          <w:tab w:val="num" w:pos="3600"/>
        </w:tabs>
        <w:ind w:left="3600" w:hanging="360"/>
      </w:pPr>
      <w:rPr>
        <w:rFonts w:ascii="Arial" w:hAnsi="Arial" w:hint="default"/>
      </w:rPr>
    </w:lvl>
    <w:lvl w:ilvl="5" w:tplc="6A000CEE" w:tentative="1">
      <w:start w:val="1"/>
      <w:numFmt w:val="bullet"/>
      <w:lvlText w:val="•"/>
      <w:lvlJc w:val="left"/>
      <w:pPr>
        <w:tabs>
          <w:tab w:val="num" w:pos="4320"/>
        </w:tabs>
        <w:ind w:left="4320" w:hanging="360"/>
      </w:pPr>
      <w:rPr>
        <w:rFonts w:ascii="Arial" w:hAnsi="Arial" w:hint="default"/>
      </w:rPr>
    </w:lvl>
    <w:lvl w:ilvl="6" w:tplc="7D98A322" w:tentative="1">
      <w:start w:val="1"/>
      <w:numFmt w:val="bullet"/>
      <w:lvlText w:val="•"/>
      <w:lvlJc w:val="left"/>
      <w:pPr>
        <w:tabs>
          <w:tab w:val="num" w:pos="5040"/>
        </w:tabs>
        <w:ind w:left="5040" w:hanging="360"/>
      </w:pPr>
      <w:rPr>
        <w:rFonts w:ascii="Arial" w:hAnsi="Arial" w:hint="default"/>
      </w:rPr>
    </w:lvl>
    <w:lvl w:ilvl="7" w:tplc="E056F984" w:tentative="1">
      <w:start w:val="1"/>
      <w:numFmt w:val="bullet"/>
      <w:lvlText w:val="•"/>
      <w:lvlJc w:val="left"/>
      <w:pPr>
        <w:tabs>
          <w:tab w:val="num" w:pos="5760"/>
        </w:tabs>
        <w:ind w:left="5760" w:hanging="360"/>
      </w:pPr>
      <w:rPr>
        <w:rFonts w:ascii="Arial" w:hAnsi="Arial" w:hint="default"/>
      </w:rPr>
    </w:lvl>
    <w:lvl w:ilvl="8" w:tplc="C784985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425195"/>
    <w:multiLevelType w:val="hybridMultilevel"/>
    <w:tmpl w:val="1EBEDB6E"/>
    <w:lvl w:ilvl="0" w:tplc="A998BAE2">
      <w:start w:val="1"/>
      <w:numFmt w:val="decimal"/>
      <w:lvlText w:val="%1."/>
      <w:lvlJc w:val="left"/>
      <w:pPr>
        <w:tabs>
          <w:tab w:val="num" w:pos="720"/>
        </w:tabs>
        <w:ind w:left="720" w:hanging="360"/>
      </w:pPr>
    </w:lvl>
    <w:lvl w:ilvl="1" w:tplc="F7040A0E" w:tentative="1">
      <w:start w:val="1"/>
      <w:numFmt w:val="decimal"/>
      <w:lvlText w:val="%2."/>
      <w:lvlJc w:val="left"/>
      <w:pPr>
        <w:tabs>
          <w:tab w:val="num" w:pos="1440"/>
        </w:tabs>
        <w:ind w:left="1440" w:hanging="360"/>
      </w:pPr>
    </w:lvl>
    <w:lvl w:ilvl="2" w:tplc="11BA4D3A" w:tentative="1">
      <w:start w:val="1"/>
      <w:numFmt w:val="decimal"/>
      <w:lvlText w:val="%3."/>
      <w:lvlJc w:val="left"/>
      <w:pPr>
        <w:tabs>
          <w:tab w:val="num" w:pos="2160"/>
        </w:tabs>
        <w:ind w:left="2160" w:hanging="360"/>
      </w:pPr>
    </w:lvl>
    <w:lvl w:ilvl="3" w:tplc="0E949692" w:tentative="1">
      <w:start w:val="1"/>
      <w:numFmt w:val="decimal"/>
      <w:lvlText w:val="%4."/>
      <w:lvlJc w:val="left"/>
      <w:pPr>
        <w:tabs>
          <w:tab w:val="num" w:pos="2880"/>
        </w:tabs>
        <w:ind w:left="2880" w:hanging="360"/>
      </w:pPr>
    </w:lvl>
    <w:lvl w:ilvl="4" w:tplc="F93E6344" w:tentative="1">
      <w:start w:val="1"/>
      <w:numFmt w:val="decimal"/>
      <w:lvlText w:val="%5."/>
      <w:lvlJc w:val="left"/>
      <w:pPr>
        <w:tabs>
          <w:tab w:val="num" w:pos="3600"/>
        </w:tabs>
        <w:ind w:left="3600" w:hanging="360"/>
      </w:pPr>
    </w:lvl>
    <w:lvl w:ilvl="5" w:tplc="81BCA408" w:tentative="1">
      <w:start w:val="1"/>
      <w:numFmt w:val="decimal"/>
      <w:lvlText w:val="%6."/>
      <w:lvlJc w:val="left"/>
      <w:pPr>
        <w:tabs>
          <w:tab w:val="num" w:pos="4320"/>
        </w:tabs>
        <w:ind w:left="4320" w:hanging="360"/>
      </w:pPr>
    </w:lvl>
    <w:lvl w:ilvl="6" w:tplc="6FD009C8" w:tentative="1">
      <w:start w:val="1"/>
      <w:numFmt w:val="decimal"/>
      <w:lvlText w:val="%7."/>
      <w:lvlJc w:val="left"/>
      <w:pPr>
        <w:tabs>
          <w:tab w:val="num" w:pos="5040"/>
        </w:tabs>
        <w:ind w:left="5040" w:hanging="360"/>
      </w:pPr>
    </w:lvl>
    <w:lvl w:ilvl="7" w:tplc="BC64FBD8" w:tentative="1">
      <w:start w:val="1"/>
      <w:numFmt w:val="decimal"/>
      <w:lvlText w:val="%8."/>
      <w:lvlJc w:val="left"/>
      <w:pPr>
        <w:tabs>
          <w:tab w:val="num" w:pos="5760"/>
        </w:tabs>
        <w:ind w:left="5760" w:hanging="360"/>
      </w:pPr>
    </w:lvl>
    <w:lvl w:ilvl="8" w:tplc="46FED16A" w:tentative="1">
      <w:start w:val="1"/>
      <w:numFmt w:val="decimal"/>
      <w:lvlText w:val="%9."/>
      <w:lvlJc w:val="left"/>
      <w:pPr>
        <w:tabs>
          <w:tab w:val="num" w:pos="6480"/>
        </w:tabs>
        <w:ind w:left="6480" w:hanging="360"/>
      </w:pPr>
    </w:lvl>
  </w:abstractNum>
  <w:abstractNum w:abstractNumId="14" w15:restartNumberingAfterBreak="0">
    <w:nsid w:val="2AB46702"/>
    <w:multiLevelType w:val="multilevel"/>
    <w:tmpl w:val="81342C50"/>
    <w:lvl w:ilvl="0">
      <w:start w:val="1"/>
      <w:numFmt w:val="decimal"/>
      <w:lvlText w:val="%1."/>
      <w:lvlJc w:val="left"/>
      <w:pPr>
        <w:ind w:left="720" w:hanging="360"/>
      </w:pPr>
      <w:rPr>
        <w:rFonts w:hint="default"/>
        <w:b/>
        <w:bCs/>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2B32B2B"/>
    <w:multiLevelType w:val="hybridMultilevel"/>
    <w:tmpl w:val="BA5840B2"/>
    <w:lvl w:ilvl="0" w:tplc="3920DDA4">
      <w:start w:val="1"/>
      <w:numFmt w:val="bullet"/>
      <w:lvlText w:val="•"/>
      <w:lvlJc w:val="left"/>
      <w:pPr>
        <w:tabs>
          <w:tab w:val="num" w:pos="720"/>
        </w:tabs>
        <w:ind w:left="720" w:hanging="360"/>
      </w:pPr>
      <w:rPr>
        <w:rFonts w:ascii="Arial" w:hAnsi="Arial" w:hint="default"/>
      </w:rPr>
    </w:lvl>
    <w:lvl w:ilvl="1" w:tplc="9DD21B20" w:tentative="1">
      <w:start w:val="1"/>
      <w:numFmt w:val="bullet"/>
      <w:lvlText w:val="•"/>
      <w:lvlJc w:val="left"/>
      <w:pPr>
        <w:tabs>
          <w:tab w:val="num" w:pos="1440"/>
        </w:tabs>
        <w:ind w:left="1440" w:hanging="360"/>
      </w:pPr>
      <w:rPr>
        <w:rFonts w:ascii="Arial" w:hAnsi="Arial" w:hint="default"/>
      </w:rPr>
    </w:lvl>
    <w:lvl w:ilvl="2" w:tplc="1ED89188" w:tentative="1">
      <w:start w:val="1"/>
      <w:numFmt w:val="bullet"/>
      <w:lvlText w:val="•"/>
      <w:lvlJc w:val="left"/>
      <w:pPr>
        <w:tabs>
          <w:tab w:val="num" w:pos="2160"/>
        </w:tabs>
        <w:ind w:left="2160" w:hanging="360"/>
      </w:pPr>
      <w:rPr>
        <w:rFonts w:ascii="Arial" w:hAnsi="Arial" w:hint="default"/>
      </w:rPr>
    </w:lvl>
    <w:lvl w:ilvl="3" w:tplc="90C45452" w:tentative="1">
      <w:start w:val="1"/>
      <w:numFmt w:val="bullet"/>
      <w:lvlText w:val="•"/>
      <w:lvlJc w:val="left"/>
      <w:pPr>
        <w:tabs>
          <w:tab w:val="num" w:pos="2880"/>
        </w:tabs>
        <w:ind w:left="2880" w:hanging="360"/>
      </w:pPr>
      <w:rPr>
        <w:rFonts w:ascii="Arial" w:hAnsi="Arial" w:hint="default"/>
      </w:rPr>
    </w:lvl>
    <w:lvl w:ilvl="4" w:tplc="2E1AE63E" w:tentative="1">
      <w:start w:val="1"/>
      <w:numFmt w:val="bullet"/>
      <w:lvlText w:val="•"/>
      <w:lvlJc w:val="left"/>
      <w:pPr>
        <w:tabs>
          <w:tab w:val="num" w:pos="3600"/>
        </w:tabs>
        <w:ind w:left="3600" w:hanging="360"/>
      </w:pPr>
      <w:rPr>
        <w:rFonts w:ascii="Arial" w:hAnsi="Arial" w:hint="default"/>
      </w:rPr>
    </w:lvl>
    <w:lvl w:ilvl="5" w:tplc="6C2EAAF0" w:tentative="1">
      <w:start w:val="1"/>
      <w:numFmt w:val="bullet"/>
      <w:lvlText w:val="•"/>
      <w:lvlJc w:val="left"/>
      <w:pPr>
        <w:tabs>
          <w:tab w:val="num" w:pos="4320"/>
        </w:tabs>
        <w:ind w:left="4320" w:hanging="360"/>
      </w:pPr>
      <w:rPr>
        <w:rFonts w:ascii="Arial" w:hAnsi="Arial" w:hint="default"/>
      </w:rPr>
    </w:lvl>
    <w:lvl w:ilvl="6" w:tplc="5322903E" w:tentative="1">
      <w:start w:val="1"/>
      <w:numFmt w:val="bullet"/>
      <w:lvlText w:val="•"/>
      <w:lvlJc w:val="left"/>
      <w:pPr>
        <w:tabs>
          <w:tab w:val="num" w:pos="5040"/>
        </w:tabs>
        <w:ind w:left="5040" w:hanging="360"/>
      </w:pPr>
      <w:rPr>
        <w:rFonts w:ascii="Arial" w:hAnsi="Arial" w:hint="default"/>
      </w:rPr>
    </w:lvl>
    <w:lvl w:ilvl="7" w:tplc="16D2ED46" w:tentative="1">
      <w:start w:val="1"/>
      <w:numFmt w:val="bullet"/>
      <w:lvlText w:val="•"/>
      <w:lvlJc w:val="left"/>
      <w:pPr>
        <w:tabs>
          <w:tab w:val="num" w:pos="5760"/>
        </w:tabs>
        <w:ind w:left="5760" w:hanging="360"/>
      </w:pPr>
      <w:rPr>
        <w:rFonts w:ascii="Arial" w:hAnsi="Arial" w:hint="default"/>
      </w:rPr>
    </w:lvl>
    <w:lvl w:ilvl="8" w:tplc="16342A4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63715A0"/>
    <w:multiLevelType w:val="hybridMultilevel"/>
    <w:tmpl w:val="A0D0DE9C"/>
    <w:lvl w:ilvl="0" w:tplc="A0740422">
      <w:start w:val="1"/>
      <w:numFmt w:val="bullet"/>
      <w:lvlText w:val="•"/>
      <w:lvlJc w:val="left"/>
      <w:pPr>
        <w:tabs>
          <w:tab w:val="num" w:pos="720"/>
        </w:tabs>
        <w:ind w:left="720" w:hanging="360"/>
      </w:pPr>
      <w:rPr>
        <w:rFonts w:ascii="Arial" w:hAnsi="Arial" w:hint="default"/>
      </w:rPr>
    </w:lvl>
    <w:lvl w:ilvl="1" w:tplc="060A28B2" w:tentative="1">
      <w:start w:val="1"/>
      <w:numFmt w:val="bullet"/>
      <w:lvlText w:val="•"/>
      <w:lvlJc w:val="left"/>
      <w:pPr>
        <w:tabs>
          <w:tab w:val="num" w:pos="1440"/>
        </w:tabs>
        <w:ind w:left="1440" w:hanging="360"/>
      </w:pPr>
      <w:rPr>
        <w:rFonts w:ascii="Arial" w:hAnsi="Arial" w:hint="default"/>
      </w:rPr>
    </w:lvl>
    <w:lvl w:ilvl="2" w:tplc="A27608EE" w:tentative="1">
      <w:start w:val="1"/>
      <w:numFmt w:val="bullet"/>
      <w:lvlText w:val="•"/>
      <w:lvlJc w:val="left"/>
      <w:pPr>
        <w:tabs>
          <w:tab w:val="num" w:pos="2160"/>
        </w:tabs>
        <w:ind w:left="2160" w:hanging="360"/>
      </w:pPr>
      <w:rPr>
        <w:rFonts w:ascii="Arial" w:hAnsi="Arial" w:hint="default"/>
      </w:rPr>
    </w:lvl>
    <w:lvl w:ilvl="3" w:tplc="03ECD114" w:tentative="1">
      <w:start w:val="1"/>
      <w:numFmt w:val="bullet"/>
      <w:lvlText w:val="•"/>
      <w:lvlJc w:val="left"/>
      <w:pPr>
        <w:tabs>
          <w:tab w:val="num" w:pos="2880"/>
        </w:tabs>
        <w:ind w:left="2880" w:hanging="360"/>
      </w:pPr>
      <w:rPr>
        <w:rFonts w:ascii="Arial" w:hAnsi="Arial" w:hint="default"/>
      </w:rPr>
    </w:lvl>
    <w:lvl w:ilvl="4" w:tplc="66A680D2" w:tentative="1">
      <w:start w:val="1"/>
      <w:numFmt w:val="bullet"/>
      <w:lvlText w:val="•"/>
      <w:lvlJc w:val="left"/>
      <w:pPr>
        <w:tabs>
          <w:tab w:val="num" w:pos="3600"/>
        </w:tabs>
        <w:ind w:left="3600" w:hanging="360"/>
      </w:pPr>
      <w:rPr>
        <w:rFonts w:ascii="Arial" w:hAnsi="Arial" w:hint="default"/>
      </w:rPr>
    </w:lvl>
    <w:lvl w:ilvl="5" w:tplc="9BAE137E" w:tentative="1">
      <w:start w:val="1"/>
      <w:numFmt w:val="bullet"/>
      <w:lvlText w:val="•"/>
      <w:lvlJc w:val="left"/>
      <w:pPr>
        <w:tabs>
          <w:tab w:val="num" w:pos="4320"/>
        </w:tabs>
        <w:ind w:left="4320" w:hanging="360"/>
      </w:pPr>
      <w:rPr>
        <w:rFonts w:ascii="Arial" w:hAnsi="Arial" w:hint="default"/>
      </w:rPr>
    </w:lvl>
    <w:lvl w:ilvl="6" w:tplc="39D28B2E" w:tentative="1">
      <w:start w:val="1"/>
      <w:numFmt w:val="bullet"/>
      <w:lvlText w:val="•"/>
      <w:lvlJc w:val="left"/>
      <w:pPr>
        <w:tabs>
          <w:tab w:val="num" w:pos="5040"/>
        </w:tabs>
        <w:ind w:left="5040" w:hanging="360"/>
      </w:pPr>
      <w:rPr>
        <w:rFonts w:ascii="Arial" w:hAnsi="Arial" w:hint="default"/>
      </w:rPr>
    </w:lvl>
    <w:lvl w:ilvl="7" w:tplc="D0201010" w:tentative="1">
      <w:start w:val="1"/>
      <w:numFmt w:val="bullet"/>
      <w:lvlText w:val="•"/>
      <w:lvlJc w:val="left"/>
      <w:pPr>
        <w:tabs>
          <w:tab w:val="num" w:pos="5760"/>
        </w:tabs>
        <w:ind w:left="5760" w:hanging="360"/>
      </w:pPr>
      <w:rPr>
        <w:rFonts w:ascii="Arial" w:hAnsi="Arial" w:hint="default"/>
      </w:rPr>
    </w:lvl>
    <w:lvl w:ilvl="8" w:tplc="BAA609F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90B090F"/>
    <w:multiLevelType w:val="hybridMultilevel"/>
    <w:tmpl w:val="8FDA066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92E5310"/>
    <w:multiLevelType w:val="hybridMultilevel"/>
    <w:tmpl w:val="1624D15E"/>
    <w:lvl w:ilvl="0" w:tplc="1C8ED7E6">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93F6D5E"/>
    <w:multiLevelType w:val="hybridMultilevel"/>
    <w:tmpl w:val="DD76915E"/>
    <w:lvl w:ilvl="0" w:tplc="080A0017">
      <w:start w:val="1"/>
      <w:numFmt w:val="lowerLetter"/>
      <w:lvlText w:val="%1)"/>
      <w:lvlJc w:val="left"/>
      <w:pPr>
        <w:ind w:left="720" w:hanging="360"/>
      </w:pPr>
      <w:rPr>
        <w:rFonts w:hint="default"/>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9AE7FC6"/>
    <w:multiLevelType w:val="hybridMultilevel"/>
    <w:tmpl w:val="691CBAC0"/>
    <w:lvl w:ilvl="0" w:tplc="E3445E1E">
      <w:start w:val="1"/>
      <w:numFmt w:val="bullet"/>
      <w:lvlText w:val="•"/>
      <w:lvlJc w:val="left"/>
      <w:pPr>
        <w:tabs>
          <w:tab w:val="num" w:pos="720"/>
        </w:tabs>
        <w:ind w:left="720" w:hanging="360"/>
      </w:pPr>
      <w:rPr>
        <w:rFonts w:ascii="Arial" w:hAnsi="Arial" w:hint="default"/>
      </w:rPr>
    </w:lvl>
    <w:lvl w:ilvl="1" w:tplc="2B222BDA" w:tentative="1">
      <w:start w:val="1"/>
      <w:numFmt w:val="bullet"/>
      <w:lvlText w:val="•"/>
      <w:lvlJc w:val="left"/>
      <w:pPr>
        <w:tabs>
          <w:tab w:val="num" w:pos="1440"/>
        </w:tabs>
        <w:ind w:left="1440" w:hanging="360"/>
      </w:pPr>
      <w:rPr>
        <w:rFonts w:ascii="Arial" w:hAnsi="Arial" w:hint="default"/>
      </w:rPr>
    </w:lvl>
    <w:lvl w:ilvl="2" w:tplc="C7441AA8" w:tentative="1">
      <w:start w:val="1"/>
      <w:numFmt w:val="bullet"/>
      <w:lvlText w:val="•"/>
      <w:lvlJc w:val="left"/>
      <w:pPr>
        <w:tabs>
          <w:tab w:val="num" w:pos="2160"/>
        </w:tabs>
        <w:ind w:left="2160" w:hanging="360"/>
      </w:pPr>
      <w:rPr>
        <w:rFonts w:ascii="Arial" w:hAnsi="Arial" w:hint="default"/>
      </w:rPr>
    </w:lvl>
    <w:lvl w:ilvl="3" w:tplc="ED1E238C" w:tentative="1">
      <w:start w:val="1"/>
      <w:numFmt w:val="bullet"/>
      <w:lvlText w:val="•"/>
      <w:lvlJc w:val="left"/>
      <w:pPr>
        <w:tabs>
          <w:tab w:val="num" w:pos="2880"/>
        </w:tabs>
        <w:ind w:left="2880" w:hanging="360"/>
      </w:pPr>
      <w:rPr>
        <w:rFonts w:ascii="Arial" w:hAnsi="Arial" w:hint="default"/>
      </w:rPr>
    </w:lvl>
    <w:lvl w:ilvl="4" w:tplc="18827C46" w:tentative="1">
      <w:start w:val="1"/>
      <w:numFmt w:val="bullet"/>
      <w:lvlText w:val="•"/>
      <w:lvlJc w:val="left"/>
      <w:pPr>
        <w:tabs>
          <w:tab w:val="num" w:pos="3600"/>
        </w:tabs>
        <w:ind w:left="3600" w:hanging="360"/>
      </w:pPr>
      <w:rPr>
        <w:rFonts w:ascii="Arial" w:hAnsi="Arial" w:hint="default"/>
      </w:rPr>
    </w:lvl>
    <w:lvl w:ilvl="5" w:tplc="273A54A4" w:tentative="1">
      <w:start w:val="1"/>
      <w:numFmt w:val="bullet"/>
      <w:lvlText w:val="•"/>
      <w:lvlJc w:val="left"/>
      <w:pPr>
        <w:tabs>
          <w:tab w:val="num" w:pos="4320"/>
        </w:tabs>
        <w:ind w:left="4320" w:hanging="360"/>
      </w:pPr>
      <w:rPr>
        <w:rFonts w:ascii="Arial" w:hAnsi="Arial" w:hint="default"/>
      </w:rPr>
    </w:lvl>
    <w:lvl w:ilvl="6" w:tplc="AC2A77A8" w:tentative="1">
      <w:start w:val="1"/>
      <w:numFmt w:val="bullet"/>
      <w:lvlText w:val="•"/>
      <w:lvlJc w:val="left"/>
      <w:pPr>
        <w:tabs>
          <w:tab w:val="num" w:pos="5040"/>
        </w:tabs>
        <w:ind w:left="5040" w:hanging="360"/>
      </w:pPr>
      <w:rPr>
        <w:rFonts w:ascii="Arial" w:hAnsi="Arial" w:hint="default"/>
      </w:rPr>
    </w:lvl>
    <w:lvl w:ilvl="7" w:tplc="D1DC8216" w:tentative="1">
      <w:start w:val="1"/>
      <w:numFmt w:val="bullet"/>
      <w:lvlText w:val="•"/>
      <w:lvlJc w:val="left"/>
      <w:pPr>
        <w:tabs>
          <w:tab w:val="num" w:pos="5760"/>
        </w:tabs>
        <w:ind w:left="5760" w:hanging="360"/>
      </w:pPr>
      <w:rPr>
        <w:rFonts w:ascii="Arial" w:hAnsi="Arial" w:hint="default"/>
      </w:rPr>
    </w:lvl>
    <w:lvl w:ilvl="8" w:tplc="1A68670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1202559"/>
    <w:multiLevelType w:val="hybridMultilevel"/>
    <w:tmpl w:val="021C2E08"/>
    <w:lvl w:ilvl="0" w:tplc="42262ABC">
      <w:start w:val="1"/>
      <w:numFmt w:val="bullet"/>
      <w:lvlText w:val="•"/>
      <w:lvlJc w:val="left"/>
      <w:pPr>
        <w:tabs>
          <w:tab w:val="num" w:pos="720"/>
        </w:tabs>
        <w:ind w:left="720" w:hanging="360"/>
      </w:pPr>
      <w:rPr>
        <w:rFonts w:ascii="Arial" w:hAnsi="Arial" w:hint="default"/>
      </w:rPr>
    </w:lvl>
    <w:lvl w:ilvl="1" w:tplc="E6F26412" w:tentative="1">
      <w:start w:val="1"/>
      <w:numFmt w:val="bullet"/>
      <w:lvlText w:val="•"/>
      <w:lvlJc w:val="left"/>
      <w:pPr>
        <w:tabs>
          <w:tab w:val="num" w:pos="1440"/>
        </w:tabs>
        <w:ind w:left="1440" w:hanging="360"/>
      </w:pPr>
      <w:rPr>
        <w:rFonts w:ascii="Arial" w:hAnsi="Arial" w:hint="default"/>
      </w:rPr>
    </w:lvl>
    <w:lvl w:ilvl="2" w:tplc="72720708" w:tentative="1">
      <w:start w:val="1"/>
      <w:numFmt w:val="bullet"/>
      <w:lvlText w:val="•"/>
      <w:lvlJc w:val="left"/>
      <w:pPr>
        <w:tabs>
          <w:tab w:val="num" w:pos="2160"/>
        </w:tabs>
        <w:ind w:left="2160" w:hanging="360"/>
      </w:pPr>
      <w:rPr>
        <w:rFonts w:ascii="Arial" w:hAnsi="Arial" w:hint="default"/>
      </w:rPr>
    </w:lvl>
    <w:lvl w:ilvl="3" w:tplc="21FC3D1A" w:tentative="1">
      <w:start w:val="1"/>
      <w:numFmt w:val="bullet"/>
      <w:lvlText w:val="•"/>
      <w:lvlJc w:val="left"/>
      <w:pPr>
        <w:tabs>
          <w:tab w:val="num" w:pos="2880"/>
        </w:tabs>
        <w:ind w:left="2880" w:hanging="360"/>
      </w:pPr>
      <w:rPr>
        <w:rFonts w:ascii="Arial" w:hAnsi="Arial" w:hint="default"/>
      </w:rPr>
    </w:lvl>
    <w:lvl w:ilvl="4" w:tplc="94C00580" w:tentative="1">
      <w:start w:val="1"/>
      <w:numFmt w:val="bullet"/>
      <w:lvlText w:val="•"/>
      <w:lvlJc w:val="left"/>
      <w:pPr>
        <w:tabs>
          <w:tab w:val="num" w:pos="3600"/>
        </w:tabs>
        <w:ind w:left="3600" w:hanging="360"/>
      </w:pPr>
      <w:rPr>
        <w:rFonts w:ascii="Arial" w:hAnsi="Arial" w:hint="default"/>
      </w:rPr>
    </w:lvl>
    <w:lvl w:ilvl="5" w:tplc="471A2770" w:tentative="1">
      <w:start w:val="1"/>
      <w:numFmt w:val="bullet"/>
      <w:lvlText w:val="•"/>
      <w:lvlJc w:val="left"/>
      <w:pPr>
        <w:tabs>
          <w:tab w:val="num" w:pos="4320"/>
        </w:tabs>
        <w:ind w:left="4320" w:hanging="360"/>
      </w:pPr>
      <w:rPr>
        <w:rFonts w:ascii="Arial" w:hAnsi="Arial" w:hint="default"/>
      </w:rPr>
    </w:lvl>
    <w:lvl w:ilvl="6" w:tplc="70A4A8FE" w:tentative="1">
      <w:start w:val="1"/>
      <w:numFmt w:val="bullet"/>
      <w:lvlText w:val="•"/>
      <w:lvlJc w:val="left"/>
      <w:pPr>
        <w:tabs>
          <w:tab w:val="num" w:pos="5040"/>
        </w:tabs>
        <w:ind w:left="5040" w:hanging="360"/>
      </w:pPr>
      <w:rPr>
        <w:rFonts w:ascii="Arial" w:hAnsi="Arial" w:hint="default"/>
      </w:rPr>
    </w:lvl>
    <w:lvl w:ilvl="7" w:tplc="91445F04" w:tentative="1">
      <w:start w:val="1"/>
      <w:numFmt w:val="bullet"/>
      <w:lvlText w:val="•"/>
      <w:lvlJc w:val="left"/>
      <w:pPr>
        <w:tabs>
          <w:tab w:val="num" w:pos="5760"/>
        </w:tabs>
        <w:ind w:left="5760" w:hanging="360"/>
      </w:pPr>
      <w:rPr>
        <w:rFonts w:ascii="Arial" w:hAnsi="Arial" w:hint="default"/>
      </w:rPr>
    </w:lvl>
    <w:lvl w:ilvl="8" w:tplc="A4F24F6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13F4370"/>
    <w:multiLevelType w:val="multilevel"/>
    <w:tmpl w:val="E9DC43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5A1936"/>
    <w:multiLevelType w:val="hybridMultilevel"/>
    <w:tmpl w:val="CA0816F0"/>
    <w:lvl w:ilvl="0" w:tplc="483476C6">
      <w:start w:val="1"/>
      <w:numFmt w:val="bullet"/>
      <w:lvlText w:val="•"/>
      <w:lvlJc w:val="left"/>
      <w:pPr>
        <w:tabs>
          <w:tab w:val="num" w:pos="720"/>
        </w:tabs>
        <w:ind w:left="720" w:hanging="360"/>
      </w:pPr>
      <w:rPr>
        <w:rFonts w:ascii="Arial" w:hAnsi="Arial" w:hint="default"/>
      </w:rPr>
    </w:lvl>
    <w:lvl w:ilvl="1" w:tplc="EC7AA242" w:tentative="1">
      <w:start w:val="1"/>
      <w:numFmt w:val="bullet"/>
      <w:lvlText w:val="•"/>
      <w:lvlJc w:val="left"/>
      <w:pPr>
        <w:tabs>
          <w:tab w:val="num" w:pos="1440"/>
        </w:tabs>
        <w:ind w:left="1440" w:hanging="360"/>
      </w:pPr>
      <w:rPr>
        <w:rFonts w:ascii="Arial" w:hAnsi="Arial" w:hint="default"/>
      </w:rPr>
    </w:lvl>
    <w:lvl w:ilvl="2" w:tplc="646E7014" w:tentative="1">
      <w:start w:val="1"/>
      <w:numFmt w:val="bullet"/>
      <w:lvlText w:val="•"/>
      <w:lvlJc w:val="left"/>
      <w:pPr>
        <w:tabs>
          <w:tab w:val="num" w:pos="2160"/>
        </w:tabs>
        <w:ind w:left="2160" w:hanging="360"/>
      </w:pPr>
      <w:rPr>
        <w:rFonts w:ascii="Arial" w:hAnsi="Arial" w:hint="default"/>
      </w:rPr>
    </w:lvl>
    <w:lvl w:ilvl="3" w:tplc="1A4055BC" w:tentative="1">
      <w:start w:val="1"/>
      <w:numFmt w:val="bullet"/>
      <w:lvlText w:val="•"/>
      <w:lvlJc w:val="left"/>
      <w:pPr>
        <w:tabs>
          <w:tab w:val="num" w:pos="2880"/>
        </w:tabs>
        <w:ind w:left="2880" w:hanging="360"/>
      </w:pPr>
      <w:rPr>
        <w:rFonts w:ascii="Arial" w:hAnsi="Arial" w:hint="default"/>
      </w:rPr>
    </w:lvl>
    <w:lvl w:ilvl="4" w:tplc="71320C86" w:tentative="1">
      <w:start w:val="1"/>
      <w:numFmt w:val="bullet"/>
      <w:lvlText w:val="•"/>
      <w:lvlJc w:val="left"/>
      <w:pPr>
        <w:tabs>
          <w:tab w:val="num" w:pos="3600"/>
        </w:tabs>
        <w:ind w:left="3600" w:hanging="360"/>
      </w:pPr>
      <w:rPr>
        <w:rFonts w:ascii="Arial" w:hAnsi="Arial" w:hint="default"/>
      </w:rPr>
    </w:lvl>
    <w:lvl w:ilvl="5" w:tplc="D7846FA2" w:tentative="1">
      <w:start w:val="1"/>
      <w:numFmt w:val="bullet"/>
      <w:lvlText w:val="•"/>
      <w:lvlJc w:val="left"/>
      <w:pPr>
        <w:tabs>
          <w:tab w:val="num" w:pos="4320"/>
        </w:tabs>
        <w:ind w:left="4320" w:hanging="360"/>
      </w:pPr>
      <w:rPr>
        <w:rFonts w:ascii="Arial" w:hAnsi="Arial" w:hint="default"/>
      </w:rPr>
    </w:lvl>
    <w:lvl w:ilvl="6" w:tplc="28AA8580" w:tentative="1">
      <w:start w:val="1"/>
      <w:numFmt w:val="bullet"/>
      <w:lvlText w:val="•"/>
      <w:lvlJc w:val="left"/>
      <w:pPr>
        <w:tabs>
          <w:tab w:val="num" w:pos="5040"/>
        </w:tabs>
        <w:ind w:left="5040" w:hanging="360"/>
      </w:pPr>
      <w:rPr>
        <w:rFonts w:ascii="Arial" w:hAnsi="Arial" w:hint="default"/>
      </w:rPr>
    </w:lvl>
    <w:lvl w:ilvl="7" w:tplc="10DAC3FC" w:tentative="1">
      <w:start w:val="1"/>
      <w:numFmt w:val="bullet"/>
      <w:lvlText w:val="•"/>
      <w:lvlJc w:val="left"/>
      <w:pPr>
        <w:tabs>
          <w:tab w:val="num" w:pos="5760"/>
        </w:tabs>
        <w:ind w:left="5760" w:hanging="360"/>
      </w:pPr>
      <w:rPr>
        <w:rFonts w:ascii="Arial" w:hAnsi="Arial" w:hint="default"/>
      </w:rPr>
    </w:lvl>
    <w:lvl w:ilvl="8" w:tplc="35B02E0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C4071A1"/>
    <w:multiLevelType w:val="hybridMultilevel"/>
    <w:tmpl w:val="F42CE3C6"/>
    <w:lvl w:ilvl="0" w:tplc="B1BC1D66">
      <w:start w:val="1"/>
      <w:numFmt w:val="bullet"/>
      <w:lvlText w:val="•"/>
      <w:lvlJc w:val="left"/>
      <w:pPr>
        <w:tabs>
          <w:tab w:val="num" w:pos="720"/>
        </w:tabs>
        <w:ind w:left="720" w:hanging="360"/>
      </w:pPr>
      <w:rPr>
        <w:rFonts w:ascii="Arial" w:hAnsi="Arial" w:hint="default"/>
      </w:rPr>
    </w:lvl>
    <w:lvl w:ilvl="1" w:tplc="169003D8" w:tentative="1">
      <w:start w:val="1"/>
      <w:numFmt w:val="bullet"/>
      <w:lvlText w:val="•"/>
      <w:lvlJc w:val="left"/>
      <w:pPr>
        <w:tabs>
          <w:tab w:val="num" w:pos="1440"/>
        </w:tabs>
        <w:ind w:left="1440" w:hanging="360"/>
      </w:pPr>
      <w:rPr>
        <w:rFonts w:ascii="Arial" w:hAnsi="Arial" w:hint="default"/>
      </w:rPr>
    </w:lvl>
    <w:lvl w:ilvl="2" w:tplc="DEA02828" w:tentative="1">
      <w:start w:val="1"/>
      <w:numFmt w:val="bullet"/>
      <w:lvlText w:val="•"/>
      <w:lvlJc w:val="left"/>
      <w:pPr>
        <w:tabs>
          <w:tab w:val="num" w:pos="2160"/>
        </w:tabs>
        <w:ind w:left="2160" w:hanging="360"/>
      </w:pPr>
      <w:rPr>
        <w:rFonts w:ascii="Arial" w:hAnsi="Arial" w:hint="default"/>
      </w:rPr>
    </w:lvl>
    <w:lvl w:ilvl="3" w:tplc="D0FC0E84" w:tentative="1">
      <w:start w:val="1"/>
      <w:numFmt w:val="bullet"/>
      <w:lvlText w:val="•"/>
      <w:lvlJc w:val="left"/>
      <w:pPr>
        <w:tabs>
          <w:tab w:val="num" w:pos="2880"/>
        </w:tabs>
        <w:ind w:left="2880" w:hanging="360"/>
      </w:pPr>
      <w:rPr>
        <w:rFonts w:ascii="Arial" w:hAnsi="Arial" w:hint="default"/>
      </w:rPr>
    </w:lvl>
    <w:lvl w:ilvl="4" w:tplc="4664BB84" w:tentative="1">
      <w:start w:val="1"/>
      <w:numFmt w:val="bullet"/>
      <w:lvlText w:val="•"/>
      <w:lvlJc w:val="left"/>
      <w:pPr>
        <w:tabs>
          <w:tab w:val="num" w:pos="3600"/>
        </w:tabs>
        <w:ind w:left="3600" w:hanging="360"/>
      </w:pPr>
      <w:rPr>
        <w:rFonts w:ascii="Arial" w:hAnsi="Arial" w:hint="default"/>
      </w:rPr>
    </w:lvl>
    <w:lvl w:ilvl="5" w:tplc="59A8F320" w:tentative="1">
      <w:start w:val="1"/>
      <w:numFmt w:val="bullet"/>
      <w:lvlText w:val="•"/>
      <w:lvlJc w:val="left"/>
      <w:pPr>
        <w:tabs>
          <w:tab w:val="num" w:pos="4320"/>
        </w:tabs>
        <w:ind w:left="4320" w:hanging="360"/>
      </w:pPr>
      <w:rPr>
        <w:rFonts w:ascii="Arial" w:hAnsi="Arial" w:hint="default"/>
      </w:rPr>
    </w:lvl>
    <w:lvl w:ilvl="6" w:tplc="93827D34" w:tentative="1">
      <w:start w:val="1"/>
      <w:numFmt w:val="bullet"/>
      <w:lvlText w:val="•"/>
      <w:lvlJc w:val="left"/>
      <w:pPr>
        <w:tabs>
          <w:tab w:val="num" w:pos="5040"/>
        </w:tabs>
        <w:ind w:left="5040" w:hanging="360"/>
      </w:pPr>
      <w:rPr>
        <w:rFonts w:ascii="Arial" w:hAnsi="Arial" w:hint="default"/>
      </w:rPr>
    </w:lvl>
    <w:lvl w:ilvl="7" w:tplc="994CA190" w:tentative="1">
      <w:start w:val="1"/>
      <w:numFmt w:val="bullet"/>
      <w:lvlText w:val="•"/>
      <w:lvlJc w:val="left"/>
      <w:pPr>
        <w:tabs>
          <w:tab w:val="num" w:pos="5760"/>
        </w:tabs>
        <w:ind w:left="5760" w:hanging="360"/>
      </w:pPr>
      <w:rPr>
        <w:rFonts w:ascii="Arial" w:hAnsi="Arial" w:hint="default"/>
      </w:rPr>
    </w:lvl>
    <w:lvl w:ilvl="8" w:tplc="8124D4C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CD006C8"/>
    <w:multiLevelType w:val="hybridMultilevel"/>
    <w:tmpl w:val="D3DE9004"/>
    <w:lvl w:ilvl="0" w:tplc="4C3E7F2C">
      <w:start w:val="1"/>
      <w:numFmt w:val="bullet"/>
      <w:lvlText w:val="•"/>
      <w:lvlJc w:val="left"/>
      <w:pPr>
        <w:tabs>
          <w:tab w:val="num" w:pos="720"/>
        </w:tabs>
        <w:ind w:left="720" w:hanging="360"/>
      </w:pPr>
      <w:rPr>
        <w:rFonts w:ascii="Arial" w:hAnsi="Arial" w:hint="default"/>
      </w:rPr>
    </w:lvl>
    <w:lvl w:ilvl="1" w:tplc="4D5AF53C" w:tentative="1">
      <w:start w:val="1"/>
      <w:numFmt w:val="bullet"/>
      <w:lvlText w:val="•"/>
      <w:lvlJc w:val="left"/>
      <w:pPr>
        <w:tabs>
          <w:tab w:val="num" w:pos="1440"/>
        </w:tabs>
        <w:ind w:left="1440" w:hanging="360"/>
      </w:pPr>
      <w:rPr>
        <w:rFonts w:ascii="Arial" w:hAnsi="Arial" w:hint="default"/>
      </w:rPr>
    </w:lvl>
    <w:lvl w:ilvl="2" w:tplc="916C62EC" w:tentative="1">
      <w:start w:val="1"/>
      <w:numFmt w:val="bullet"/>
      <w:lvlText w:val="•"/>
      <w:lvlJc w:val="left"/>
      <w:pPr>
        <w:tabs>
          <w:tab w:val="num" w:pos="2160"/>
        </w:tabs>
        <w:ind w:left="2160" w:hanging="360"/>
      </w:pPr>
      <w:rPr>
        <w:rFonts w:ascii="Arial" w:hAnsi="Arial" w:hint="default"/>
      </w:rPr>
    </w:lvl>
    <w:lvl w:ilvl="3" w:tplc="6E1A6036" w:tentative="1">
      <w:start w:val="1"/>
      <w:numFmt w:val="bullet"/>
      <w:lvlText w:val="•"/>
      <w:lvlJc w:val="left"/>
      <w:pPr>
        <w:tabs>
          <w:tab w:val="num" w:pos="2880"/>
        </w:tabs>
        <w:ind w:left="2880" w:hanging="360"/>
      </w:pPr>
      <w:rPr>
        <w:rFonts w:ascii="Arial" w:hAnsi="Arial" w:hint="default"/>
      </w:rPr>
    </w:lvl>
    <w:lvl w:ilvl="4" w:tplc="751E92CE" w:tentative="1">
      <w:start w:val="1"/>
      <w:numFmt w:val="bullet"/>
      <w:lvlText w:val="•"/>
      <w:lvlJc w:val="left"/>
      <w:pPr>
        <w:tabs>
          <w:tab w:val="num" w:pos="3600"/>
        </w:tabs>
        <w:ind w:left="3600" w:hanging="360"/>
      </w:pPr>
      <w:rPr>
        <w:rFonts w:ascii="Arial" w:hAnsi="Arial" w:hint="default"/>
      </w:rPr>
    </w:lvl>
    <w:lvl w:ilvl="5" w:tplc="943AEE5E" w:tentative="1">
      <w:start w:val="1"/>
      <w:numFmt w:val="bullet"/>
      <w:lvlText w:val="•"/>
      <w:lvlJc w:val="left"/>
      <w:pPr>
        <w:tabs>
          <w:tab w:val="num" w:pos="4320"/>
        </w:tabs>
        <w:ind w:left="4320" w:hanging="360"/>
      </w:pPr>
      <w:rPr>
        <w:rFonts w:ascii="Arial" w:hAnsi="Arial" w:hint="default"/>
      </w:rPr>
    </w:lvl>
    <w:lvl w:ilvl="6" w:tplc="2A78ABE6" w:tentative="1">
      <w:start w:val="1"/>
      <w:numFmt w:val="bullet"/>
      <w:lvlText w:val="•"/>
      <w:lvlJc w:val="left"/>
      <w:pPr>
        <w:tabs>
          <w:tab w:val="num" w:pos="5040"/>
        </w:tabs>
        <w:ind w:left="5040" w:hanging="360"/>
      </w:pPr>
      <w:rPr>
        <w:rFonts w:ascii="Arial" w:hAnsi="Arial" w:hint="default"/>
      </w:rPr>
    </w:lvl>
    <w:lvl w:ilvl="7" w:tplc="153ABB92" w:tentative="1">
      <w:start w:val="1"/>
      <w:numFmt w:val="bullet"/>
      <w:lvlText w:val="•"/>
      <w:lvlJc w:val="left"/>
      <w:pPr>
        <w:tabs>
          <w:tab w:val="num" w:pos="5760"/>
        </w:tabs>
        <w:ind w:left="5760" w:hanging="360"/>
      </w:pPr>
      <w:rPr>
        <w:rFonts w:ascii="Arial" w:hAnsi="Arial" w:hint="default"/>
      </w:rPr>
    </w:lvl>
    <w:lvl w:ilvl="8" w:tplc="445C0AF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FA81A00"/>
    <w:multiLevelType w:val="hybridMultilevel"/>
    <w:tmpl w:val="32D202E0"/>
    <w:lvl w:ilvl="0" w:tplc="CCE05308">
      <w:start w:val="1"/>
      <w:numFmt w:val="bullet"/>
      <w:lvlText w:val="•"/>
      <w:lvlJc w:val="left"/>
      <w:pPr>
        <w:tabs>
          <w:tab w:val="num" w:pos="720"/>
        </w:tabs>
        <w:ind w:left="720" w:hanging="360"/>
      </w:pPr>
      <w:rPr>
        <w:rFonts w:ascii="Arial" w:hAnsi="Arial" w:hint="default"/>
      </w:rPr>
    </w:lvl>
    <w:lvl w:ilvl="1" w:tplc="C1AECA46" w:tentative="1">
      <w:start w:val="1"/>
      <w:numFmt w:val="bullet"/>
      <w:lvlText w:val="•"/>
      <w:lvlJc w:val="left"/>
      <w:pPr>
        <w:tabs>
          <w:tab w:val="num" w:pos="1440"/>
        </w:tabs>
        <w:ind w:left="1440" w:hanging="360"/>
      </w:pPr>
      <w:rPr>
        <w:rFonts w:ascii="Arial" w:hAnsi="Arial" w:hint="default"/>
      </w:rPr>
    </w:lvl>
    <w:lvl w:ilvl="2" w:tplc="7458C336" w:tentative="1">
      <w:start w:val="1"/>
      <w:numFmt w:val="bullet"/>
      <w:lvlText w:val="•"/>
      <w:lvlJc w:val="left"/>
      <w:pPr>
        <w:tabs>
          <w:tab w:val="num" w:pos="2160"/>
        </w:tabs>
        <w:ind w:left="2160" w:hanging="360"/>
      </w:pPr>
      <w:rPr>
        <w:rFonts w:ascii="Arial" w:hAnsi="Arial" w:hint="default"/>
      </w:rPr>
    </w:lvl>
    <w:lvl w:ilvl="3" w:tplc="7CCE6058" w:tentative="1">
      <w:start w:val="1"/>
      <w:numFmt w:val="bullet"/>
      <w:lvlText w:val="•"/>
      <w:lvlJc w:val="left"/>
      <w:pPr>
        <w:tabs>
          <w:tab w:val="num" w:pos="2880"/>
        </w:tabs>
        <w:ind w:left="2880" w:hanging="360"/>
      </w:pPr>
      <w:rPr>
        <w:rFonts w:ascii="Arial" w:hAnsi="Arial" w:hint="default"/>
      </w:rPr>
    </w:lvl>
    <w:lvl w:ilvl="4" w:tplc="86748854" w:tentative="1">
      <w:start w:val="1"/>
      <w:numFmt w:val="bullet"/>
      <w:lvlText w:val="•"/>
      <w:lvlJc w:val="left"/>
      <w:pPr>
        <w:tabs>
          <w:tab w:val="num" w:pos="3600"/>
        </w:tabs>
        <w:ind w:left="3600" w:hanging="360"/>
      </w:pPr>
      <w:rPr>
        <w:rFonts w:ascii="Arial" w:hAnsi="Arial" w:hint="default"/>
      </w:rPr>
    </w:lvl>
    <w:lvl w:ilvl="5" w:tplc="9094FEA2" w:tentative="1">
      <w:start w:val="1"/>
      <w:numFmt w:val="bullet"/>
      <w:lvlText w:val="•"/>
      <w:lvlJc w:val="left"/>
      <w:pPr>
        <w:tabs>
          <w:tab w:val="num" w:pos="4320"/>
        </w:tabs>
        <w:ind w:left="4320" w:hanging="360"/>
      </w:pPr>
      <w:rPr>
        <w:rFonts w:ascii="Arial" w:hAnsi="Arial" w:hint="default"/>
      </w:rPr>
    </w:lvl>
    <w:lvl w:ilvl="6" w:tplc="5B9E2E36" w:tentative="1">
      <w:start w:val="1"/>
      <w:numFmt w:val="bullet"/>
      <w:lvlText w:val="•"/>
      <w:lvlJc w:val="left"/>
      <w:pPr>
        <w:tabs>
          <w:tab w:val="num" w:pos="5040"/>
        </w:tabs>
        <w:ind w:left="5040" w:hanging="360"/>
      </w:pPr>
      <w:rPr>
        <w:rFonts w:ascii="Arial" w:hAnsi="Arial" w:hint="default"/>
      </w:rPr>
    </w:lvl>
    <w:lvl w:ilvl="7" w:tplc="57C0DEFA" w:tentative="1">
      <w:start w:val="1"/>
      <w:numFmt w:val="bullet"/>
      <w:lvlText w:val="•"/>
      <w:lvlJc w:val="left"/>
      <w:pPr>
        <w:tabs>
          <w:tab w:val="num" w:pos="5760"/>
        </w:tabs>
        <w:ind w:left="5760" w:hanging="360"/>
      </w:pPr>
      <w:rPr>
        <w:rFonts w:ascii="Arial" w:hAnsi="Arial" w:hint="default"/>
      </w:rPr>
    </w:lvl>
    <w:lvl w:ilvl="8" w:tplc="DDBE86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35F25E2"/>
    <w:multiLevelType w:val="hybridMultilevel"/>
    <w:tmpl w:val="1ADE1EA0"/>
    <w:lvl w:ilvl="0" w:tplc="3F80689C">
      <w:start w:val="1"/>
      <w:numFmt w:val="lowerLetter"/>
      <w:lvlText w:val="%1)"/>
      <w:lvlJc w:val="left"/>
      <w:pPr>
        <w:ind w:left="720" w:hanging="360"/>
      </w:pPr>
      <w:rPr>
        <w:rFonts w:ascii="Arial" w:hAnsi="Arial" w:cs="Arial"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3EE1D81"/>
    <w:multiLevelType w:val="hybridMultilevel"/>
    <w:tmpl w:val="46AA75C8"/>
    <w:lvl w:ilvl="0" w:tplc="00749DB4">
      <w:start w:val="1"/>
      <w:numFmt w:val="bullet"/>
      <w:lvlText w:val="•"/>
      <w:lvlJc w:val="left"/>
      <w:pPr>
        <w:tabs>
          <w:tab w:val="num" w:pos="720"/>
        </w:tabs>
        <w:ind w:left="720" w:hanging="360"/>
      </w:pPr>
      <w:rPr>
        <w:rFonts w:ascii="Arial" w:hAnsi="Arial" w:hint="default"/>
      </w:rPr>
    </w:lvl>
    <w:lvl w:ilvl="1" w:tplc="A686E8B4" w:tentative="1">
      <w:start w:val="1"/>
      <w:numFmt w:val="bullet"/>
      <w:lvlText w:val="•"/>
      <w:lvlJc w:val="left"/>
      <w:pPr>
        <w:tabs>
          <w:tab w:val="num" w:pos="1440"/>
        </w:tabs>
        <w:ind w:left="1440" w:hanging="360"/>
      </w:pPr>
      <w:rPr>
        <w:rFonts w:ascii="Arial" w:hAnsi="Arial" w:hint="default"/>
      </w:rPr>
    </w:lvl>
    <w:lvl w:ilvl="2" w:tplc="E6F60510" w:tentative="1">
      <w:start w:val="1"/>
      <w:numFmt w:val="bullet"/>
      <w:lvlText w:val="•"/>
      <w:lvlJc w:val="left"/>
      <w:pPr>
        <w:tabs>
          <w:tab w:val="num" w:pos="2160"/>
        </w:tabs>
        <w:ind w:left="2160" w:hanging="360"/>
      </w:pPr>
      <w:rPr>
        <w:rFonts w:ascii="Arial" w:hAnsi="Arial" w:hint="default"/>
      </w:rPr>
    </w:lvl>
    <w:lvl w:ilvl="3" w:tplc="763C6B48" w:tentative="1">
      <w:start w:val="1"/>
      <w:numFmt w:val="bullet"/>
      <w:lvlText w:val="•"/>
      <w:lvlJc w:val="left"/>
      <w:pPr>
        <w:tabs>
          <w:tab w:val="num" w:pos="2880"/>
        </w:tabs>
        <w:ind w:left="2880" w:hanging="360"/>
      </w:pPr>
      <w:rPr>
        <w:rFonts w:ascii="Arial" w:hAnsi="Arial" w:hint="default"/>
      </w:rPr>
    </w:lvl>
    <w:lvl w:ilvl="4" w:tplc="1802494C" w:tentative="1">
      <w:start w:val="1"/>
      <w:numFmt w:val="bullet"/>
      <w:lvlText w:val="•"/>
      <w:lvlJc w:val="left"/>
      <w:pPr>
        <w:tabs>
          <w:tab w:val="num" w:pos="3600"/>
        </w:tabs>
        <w:ind w:left="3600" w:hanging="360"/>
      </w:pPr>
      <w:rPr>
        <w:rFonts w:ascii="Arial" w:hAnsi="Arial" w:hint="default"/>
      </w:rPr>
    </w:lvl>
    <w:lvl w:ilvl="5" w:tplc="81168D9E" w:tentative="1">
      <w:start w:val="1"/>
      <w:numFmt w:val="bullet"/>
      <w:lvlText w:val="•"/>
      <w:lvlJc w:val="left"/>
      <w:pPr>
        <w:tabs>
          <w:tab w:val="num" w:pos="4320"/>
        </w:tabs>
        <w:ind w:left="4320" w:hanging="360"/>
      </w:pPr>
      <w:rPr>
        <w:rFonts w:ascii="Arial" w:hAnsi="Arial" w:hint="default"/>
      </w:rPr>
    </w:lvl>
    <w:lvl w:ilvl="6" w:tplc="79309434" w:tentative="1">
      <w:start w:val="1"/>
      <w:numFmt w:val="bullet"/>
      <w:lvlText w:val="•"/>
      <w:lvlJc w:val="left"/>
      <w:pPr>
        <w:tabs>
          <w:tab w:val="num" w:pos="5040"/>
        </w:tabs>
        <w:ind w:left="5040" w:hanging="360"/>
      </w:pPr>
      <w:rPr>
        <w:rFonts w:ascii="Arial" w:hAnsi="Arial" w:hint="default"/>
      </w:rPr>
    </w:lvl>
    <w:lvl w:ilvl="7" w:tplc="26F87678" w:tentative="1">
      <w:start w:val="1"/>
      <w:numFmt w:val="bullet"/>
      <w:lvlText w:val="•"/>
      <w:lvlJc w:val="left"/>
      <w:pPr>
        <w:tabs>
          <w:tab w:val="num" w:pos="5760"/>
        </w:tabs>
        <w:ind w:left="5760" w:hanging="360"/>
      </w:pPr>
      <w:rPr>
        <w:rFonts w:ascii="Arial" w:hAnsi="Arial" w:hint="default"/>
      </w:rPr>
    </w:lvl>
    <w:lvl w:ilvl="8" w:tplc="6848E9C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EB91FE3"/>
    <w:multiLevelType w:val="hybridMultilevel"/>
    <w:tmpl w:val="157A65A2"/>
    <w:lvl w:ilvl="0" w:tplc="8ABE3B08">
      <w:start w:val="1"/>
      <w:numFmt w:val="bullet"/>
      <w:lvlText w:val="•"/>
      <w:lvlJc w:val="left"/>
      <w:pPr>
        <w:tabs>
          <w:tab w:val="num" w:pos="720"/>
        </w:tabs>
        <w:ind w:left="720" w:hanging="360"/>
      </w:pPr>
      <w:rPr>
        <w:rFonts w:ascii="Arial" w:hAnsi="Arial" w:hint="default"/>
      </w:rPr>
    </w:lvl>
    <w:lvl w:ilvl="1" w:tplc="2B2C8224" w:tentative="1">
      <w:start w:val="1"/>
      <w:numFmt w:val="bullet"/>
      <w:lvlText w:val="•"/>
      <w:lvlJc w:val="left"/>
      <w:pPr>
        <w:tabs>
          <w:tab w:val="num" w:pos="1440"/>
        </w:tabs>
        <w:ind w:left="1440" w:hanging="360"/>
      </w:pPr>
      <w:rPr>
        <w:rFonts w:ascii="Arial" w:hAnsi="Arial" w:hint="default"/>
      </w:rPr>
    </w:lvl>
    <w:lvl w:ilvl="2" w:tplc="2EDC2A12" w:tentative="1">
      <w:start w:val="1"/>
      <w:numFmt w:val="bullet"/>
      <w:lvlText w:val="•"/>
      <w:lvlJc w:val="left"/>
      <w:pPr>
        <w:tabs>
          <w:tab w:val="num" w:pos="2160"/>
        </w:tabs>
        <w:ind w:left="2160" w:hanging="360"/>
      </w:pPr>
      <w:rPr>
        <w:rFonts w:ascii="Arial" w:hAnsi="Arial" w:hint="default"/>
      </w:rPr>
    </w:lvl>
    <w:lvl w:ilvl="3" w:tplc="447C9C7C" w:tentative="1">
      <w:start w:val="1"/>
      <w:numFmt w:val="bullet"/>
      <w:lvlText w:val="•"/>
      <w:lvlJc w:val="left"/>
      <w:pPr>
        <w:tabs>
          <w:tab w:val="num" w:pos="2880"/>
        </w:tabs>
        <w:ind w:left="2880" w:hanging="360"/>
      </w:pPr>
      <w:rPr>
        <w:rFonts w:ascii="Arial" w:hAnsi="Arial" w:hint="default"/>
      </w:rPr>
    </w:lvl>
    <w:lvl w:ilvl="4" w:tplc="CC543234" w:tentative="1">
      <w:start w:val="1"/>
      <w:numFmt w:val="bullet"/>
      <w:lvlText w:val="•"/>
      <w:lvlJc w:val="left"/>
      <w:pPr>
        <w:tabs>
          <w:tab w:val="num" w:pos="3600"/>
        </w:tabs>
        <w:ind w:left="3600" w:hanging="360"/>
      </w:pPr>
      <w:rPr>
        <w:rFonts w:ascii="Arial" w:hAnsi="Arial" w:hint="default"/>
      </w:rPr>
    </w:lvl>
    <w:lvl w:ilvl="5" w:tplc="72604E52" w:tentative="1">
      <w:start w:val="1"/>
      <w:numFmt w:val="bullet"/>
      <w:lvlText w:val="•"/>
      <w:lvlJc w:val="left"/>
      <w:pPr>
        <w:tabs>
          <w:tab w:val="num" w:pos="4320"/>
        </w:tabs>
        <w:ind w:left="4320" w:hanging="360"/>
      </w:pPr>
      <w:rPr>
        <w:rFonts w:ascii="Arial" w:hAnsi="Arial" w:hint="default"/>
      </w:rPr>
    </w:lvl>
    <w:lvl w:ilvl="6" w:tplc="0F547514" w:tentative="1">
      <w:start w:val="1"/>
      <w:numFmt w:val="bullet"/>
      <w:lvlText w:val="•"/>
      <w:lvlJc w:val="left"/>
      <w:pPr>
        <w:tabs>
          <w:tab w:val="num" w:pos="5040"/>
        </w:tabs>
        <w:ind w:left="5040" w:hanging="360"/>
      </w:pPr>
      <w:rPr>
        <w:rFonts w:ascii="Arial" w:hAnsi="Arial" w:hint="default"/>
      </w:rPr>
    </w:lvl>
    <w:lvl w:ilvl="7" w:tplc="FAD69D26" w:tentative="1">
      <w:start w:val="1"/>
      <w:numFmt w:val="bullet"/>
      <w:lvlText w:val="•"/>
      <w:lvlJc w:val="left"/>
      <w:pPr>
        <w:tabs>
          <w:tab w:val="num" w:pos="5760"/>
        </w:tabs>
        <w:ind w:left="5760" w:hanging="360"/>
      </w:pPr>
      <w:rPr>
        <w:rFonts w:ascii="Arial" w:hAnsi="Arial" w:hint="default"/>
      </w:rPr>
    </w:lvl>
    <w:lvl w:ilvl="8" w:tplc="2D36E63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BD51718"/>
    <w:multiLevelType w:val="hybridMultilevel"/>
    <w:tmpl w:val="6878331C"/>
    <w:lvl w:ilvl="0" w:tplc="064E319A">
      <w:start w:val="1"/>
      <w:numFmt w:val="bullet"/>
      <w:lvlText w:val="•"/>
      <w:lvlJc w:val="left"/>
      <w:pPr>
        <w:tabs>
          <w:tab w:val="num" w:pos="720"/>
        </w:tabs>
        <w:ind w:left="720" w:hanging="360"/>
      </w:pPr>
      <w:rPr>
        <w:rFonts w:ascii="Arial" w:hAnsi="Arial" w:hint="default"/>
      </w:rPr>
    </w:lvl>
    <w:lvl w:ilvl="1" w:tplc="3B4C57DE" w:tentative="1">
      <w:start w:val="1"/>
      <w:numFmt w:val="bullet"/>
      <w:lvlText w:val="•"/>
      <w:lvlJc w:val="left"/>
      <w:pPr>
        <w:tabs>
          <w:tab w:val="num" w:pos="1440"/>
        </w:tabs>
        <w:ind w:left="1440" w:hanging="360"/>
      </w:pPr>
      <w:rPr>
        <w:rFonts w:ascii="Arial" w:hAnsi="Arial" w:hint="default"/>
      </w:rPr>
    </w:lvl>
    <w:lvl w:ilvl="2" w:tplc="53684E46" w:tentative="1">
      <w:start w:val="1"/>
      <w:numFmt w:val="bullet"/>
      <w:lvlText w:val="•"/>
      <w:lvlJc w:val="left"/>
      <w:pPr>
        <w:tabs>
          <w:tab w:val="num" w:pos="2160"/>
        </w:tabs>
        <w:ind w:left="2160" w:hanging="360"/>
      </w:pPr>
      <w:rPr>
        <w:rFonts w:ascii="Arial" w:hAnsi="Arial" w:hint="default"/>
      </w:rPr>
    </w:lvl>
    <w:lvl w:ilvl="3" w:tplc="26725486" w:tentative="1">
      <w:start w:val="1"/>
      <w:numFmt w:val="bullet"/>
      <w:lvlText w:val="•"/>
      <w:lvlJc w:val="left"/>
      <w:pPr>
        <w:tabs>
          <w:tab w:val="num" w:pos="2880"/>
        </w:tabs>
        <w:ind w:left="2880" w:hanging="360"/>
      </w:pPr>
      <w:rPr>
        <w:rFonts w:ascii="Arial" w:hAnsi="Arial" w:hint="default"/>
      </w:rPr>
    </w:lvl>
    <w:lvl w:ilvl="4" w:tplc="F544DF0C" w:tentative="1">
      <w:start w:val="1"/>
      <w:numFmt w:val="bullet"/>
      <w:lvlText w:val="•"/>
      <w:lvlJc w:val="left"/>
      <w:pPr>
        <w:tabs>
          <w:tab w:val="num" w:pos="3600"/>
        </w:tabs>
        <w:ind w:left="3600" w:hanging="360"/>
      </w:pPr>
      <w:rPr>
        <w:rFonts w:ascii="Arial" w:hAnsi="Arial" w:hint="default"/>
      </w:rPr>
    </w:lvl>
    <w:lvl w:ilvl="5" w:tplc="7C8EDB94" w:tentative="1">
      <w:start w:val="1"/>
      <w:numFmt w:val="bullet"/>
      <w:lvlText w:val="•"/>
      <w:lvlJc w:val="left"/>
      <w:pPr>
        <w:tabs>
          <w:tab w:val="num" w:pos="4320"/>
        </w:tabs>
        <w:ind w:left="4320" w:hanging="360"/>
      </w:pPr>
      <w:rPr>
        <w:rFonts w:ascii="Arial" w:hAnsi="Arial" w:hint="default"/>
      </w:rPr>
    </w:lvl>
    <w:lvl w:ilvl="6" w:tplc="4ECC50FC" w:tentative="1">
      <w:start w:val="1"/>
      <w:numFmt w:val="bullet"/>
      <w:lvlText w:val="•"/>
      <w:lvlJc w:val="left"/>
      <w:pPr>
        <w:tabs>
          <w:tab w:val="num" w:pos="5040"/>
        </w:tabs>
        <w:ind w:left="5040" w:hanging="360"/>
      </w:pPr>
      <w:rPr>
        <w:rFonts w:ascii="Arial" w:hAnsi="Arial" w:hint="default"/>
      </w:rPr>
    </w:lvl>
    <w:lvl w:ilvl="7" w:tplc="6E18F396" w:tentative="1">
      <w:start w:val="1"/>
      <w:numFmt w:val="bullet"/>
      <w:lvlText w:val="•"/>
      <w:lvlJc w:val="left"/>
      <w:pPr>
        <w:tabs>
          <w:tab w:val="num" w:pos="5760"/>
        </w:tabs>
        <w:ind w:left="5760" w:hanging="360"/>
      </w:pPr>
      <w:rPr>
        <w:rFonts w:ascii="Arial" w:hAnsi="Arial" w:hint="default"/>
      </w:rPr>
    </w:lvl>
    <w:lvl w:ilvl="8" w:tplc="6F92D22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E31247E"/>
    <w:multiLevelType w:val="hybridMultilevel"/>
    <w:tmpl w:val="74A8C09C"/>
    <w:lvl w:ilvl="0" w:tplc="D304D9EC">
      <w:start w:val="1"/>
      <w:numFmt w:val="bullet"/>
      <w:lvlText w:val="•"/>
      <w:lvlJc w:val="left"/>
      <w:pPr>
        <w:tabs>
          <w:tab w:val="num" w:pos="720"/>
        </w:tabs>
        <w:ind w:left="720" w:hanging="360"/>
      </w:pPr>
      <w:rPr>
        <w:rFonts w:ascii="Arial" w:hAnsi="Arial" w:hint="default"/>
      </w:rPr>
    </w:lvl>
    <w:lvl w:ilvl="1" w:tplc="E56AA992" w:tentative="1">
      <w:start w:val="1"/>
      <w:numFmt w:val="bullet"/>
      <w:lvlText w:val="•"/>
      <w:lvlJc w:val="left"/>
      <w:pPr>
        <w:tabs>
          <w:tab w:val="num" w:pos="1440"/>
        </w:tabs>
        <w:ind w:left="1440" w:hanging="360"/>
      </w:pPr>
      <w:rPr>
        <w:rFonts w:ascii="Arial" w:hAnsi="Arial" w:hint="default"/>
      </w:rPr>
    </w:lvl>
    <w:lvl w:ilvl="2" w:tplc="DABCE79A" w:tentative="1">
      <w:start w:val="1"/>
      <w:numFmt w:val="bullet"/>
      <w:lvlText w:val="•"/>
      <w:lvlJc w:val="left"/>
      <w:pPr>
        <w:tabs>
          <w:tab w:val="num" w:pos="2160"/>
        </w:tabs>
        <w:ind w:left="2160" w:hanging="360"/>
      </w:pPr>
      <w:rPr>
        <w:rFonts w:ascii="Arial" w:hAnsi="Arial" w:hint="default"/>
      </w:rPr>
    </w:lvl>
    <w:lvl w:ilvl="3" w:tplc="C6043A62" w:tentative="1">
      <w:start w:val="1"/>
      <w:numFmt w:val="bullet"/>
      <w:lvlText w:val="•"/>
      <w:lvlJc w:val="left"/>
      <w:pPr>
        <w:tabs>
          <w:tab w:val="num" w:pos="2880"/>
        </w:tabs>
        <w:ind w:left="2880" w:hanging="360"/>
      </w:pPr>
      <w:rPr>
        <w:rFonts w:ascii="Arial" w:hAnsi="Arial" w:hint="default"/>
      </w:rPr>
    </w:lvl>
    <w:lvl w:ilvl="4" w:tplc="09CE93A8" w:tentative="1">
      <w:start w:val="1"/>
      <w:numFmt w:val="bullet"/>
      <w:lvlText w:val="•"/>
      <w:lvlJc w:val="left"/>
      <w:pPr>
        <w:tabs>
          <w:tab w:val="num" w:pos="3600"/>
        </w:tabs>
        <w:ind w:left="3600" w:hanging="360"/>
      </w:pPr>
      <w:rPr>
        <w:rFonts w:ascii="Arial" w:hAnsi="Arial" w:hint="default"/>
      </w:rPr>
    </w:lvl>
    <w:lvl w:ilvl="5" w:tplc="2E7E16E4" w:tentative="1">
      <w:start w:val="1"/>
      <w:numFmt w:val="bullet"/>
      <w:lvlText w:val="•"/>
      <w:lvlJc w:val="left"/>
      <w:pPr>
        <w:tabs>
          <w:tab w:val="num" w:pos="4320"/>
        </w:tabs>
        <w:ind w:left="4320" w:hanging="360"/>
      </w:pPr>
      <w:rPr>
        <w:rFonts w:ascii="Arial" w:hAnsi="Arial" w:hint="default"/>
      </w:rPr>
    </w:lvl>
    <w:lvl w:ilvl="6" w:tplc="955A32A4" w:tentative="1">
      <w:start w:val="1"/>
      <w:numFmt w:val="bullet"/>
      <w:lvlText w:val="•"/>
      <w:lvlJc w:val="left"/>
      <w:pPr>
        <w:tabs>
          <w:tab w:val="num" w:pos="5040"/>
        </w:tabs>
        <w:ind w:left="5040" w:hanging="360"/>
      </w:pPr>
      <w:rPr>
        <w:rFonts w:ascii="Arial" w:hAnsi="Arial" w:hint="default"/>
      </w:rPr>
    </w:lvl>
    <w:lvl w:ilvl="7" w:tplc="32A8A8FA" w:tentative="1">
      <w:start w:val="1"/>
      <w:numFmt w:val="bullet"/>
      <w:lvlText w:val="•"/>
      <w:lvlJc w:val="left"/>
      <w:pPr>
        <w:tabs>
          <w:tab w:val="num" w:pos="5760"/>
        </w:tabs>
        <w:ind w:left="5760" w:hanging="360"/>
      </w:pPr>
      <w:rPr>
        <w:rFonts w:ascii="Arial" w:hAnsi="Arial" w:hint="default"/>
      </w:rPr>
    </w:lvl>
    <w:lvl w:ilvl="8" w:tplc="0A525B0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0537993"/>
    <w:multiLevelType w:val="hybridMultilevel"/>
    <w:tmpl w:val="7FF8B8AA"/>
    <w:lvl w:ilvl="0" w:tplc="F99C9914">
      <w:start w:val="1"/>
      <w:numFmt w:val="bullet"/>
      <w:lvlText w:val="•"/>
      <w:lvlJc w:val="left"/>
      <w:pPr>
        <w:tabs>
          <w:tab w:val="num" w:pos="720"/>
        </w:tabs>
        <w:ind w:left="720" w:hanging="360"/>
      </w:pPr>
      <w:rPr>
        <w:rFonts w:ascii="Arial" w:hAnsi="Arial" w:hint="default"/>
      </w:rPr>
    </w:lvl>
    <w:lvl w:ilvl="1" w:tplc="1C3EF50A" w:tentative="1">
      <w:start w:val="1"/>
      <w:numFmt w:val="bullet"/>
      <w:lvlText w:val="•"/>
      <w:lvlJc w:val="left"/>
      <w:pPr>
        <w:tabs>
          <w:tab w:val="num" w:pos="1440"/>
        </w:tabs>
        <w:ind w:left="1440" w:hanging="360"/>
      </w:pPr>
      <w:rPr>
        <w:rFonts w:ascii="Arial" w:hAnsi="Arial" w:hint="default"/>
      </w:rPr>
    </w:lvl>
    <w:lvl w:ilvl="2" w:tplc="1AB02D88" w:tentative="1">
      <w:start w:val="1"/>
      <w:numFmt w:val="bullet"/>
      <w:lvlText w:val="•"/>
      <w:lvlJc w:val="left"/>
      <w:pPr>
        <w:tabs>
          <w:tab w:val="num" w:pos="2160"/>
        </w:tabs>
        <w:ind w:left="2160" w:hanging="360"/>
      </w:pPr>
      <w:rPr>
        <w:rFonts w:ascii="Arial" w:hAnsi="Arial" w:hint="default"/>
      </w:rPr>
    </w:lvl>
    <w:lvl w:ilvl="3" w:tplc="34727EC2" w:tentative="1">
      <w:start w:val="1"/>
      <w:numFmt w:val="bullet"/>
      <w:lvlText w:val="•"/>
      <w:lvlJc w:val="left"/>
      <w:pPr>
        <w:tabs>
          <w:tab w:val="num" w:pos="2880"/>
        </w:tabs>
        <w:ind w:left="2880" w:hanging="360"/>
      </w:pPr>
      <w:rPr>
        <w:rFonts w:ascii="Arial" w:hAnsi="Arial" w:hint="default"/>
      </w:rPr>
    </w:lvl>
    <w:lvl w:ilvl="4" w:tplc="6AA226F6" w:tentative="1">
      <w:start w:val="1"/>
      <w:numFmt w:val="bullet"/>
      <w:lvlText w:val="•"/>
      <w:lvlJc w:val="left"/>
      <w:pPr>
        <w:tabs>
          <w:tab w:val="num" w:pos="3600"/>
        </w:tabs>
        <w:ind w:left="3600" w:hanging="360"/>
      </w:pPr>
      <w:rPr>
        <w:rFonts w:ascii="Arial" w:hAnsi="Arial" w:hint="default"/>
      </w:rPr>
    </w:lvl>
    <w:lvl w:ilvl="5" w:tplc="1606229C" w:tentative="1">
      <w:start w:val="1"/>
      <w:numFmt w:val="bullet"/>
      <w:lvlText w:val="•"/>
      <w:lvlJc w:val="left"/>
      <w:pPr>
        <w:tabs>
          <w:tab w:val="num" w:pos="4320"/>
        </w:tabs>
        <w:ind w:left="4320" w:hanging="360"/>
      </w:pPr>
      <w:rPr>
        <w:rFonts w:ascii="Arial" w:hAnsi="Arial" w:hint="default"/>
      </w:rPr>
    </w:lvl>
    <w:lvl w:ilvl="6" w:tplc="2C9CC13E" w:tentative="1">
      <w:start w:val="1"/>
      <w:numFmt w:val="bullet"/>
      <w:lvlText w:val="•"/>
      <w:lvlJc w:val="left"/>
      <w:pPr>
        <w:tabs>
          <w:tab w:val="num" w:pos="5040"/>
        </w:tabs>
        <w:ind w:left="5040" w:hanging="360"/>
      </w:pPr>
      <w:rPr>
        <w:rFonts w:ascii="Arial" w:hAnsi="Arial" w:hint="default"/>
      </w:rPr>
    </w:lvl>
    <w:lvl w:ilvl="7" w:tplc="EDBCF56A" w:tentative="1">
      <w:start w:val="1"/>
      <w:numFmt w:val="bullet"/>
      <w:lvlText w:val="•"/>
      <w:lvlJc w:val="left"/>
      <w:pPr>
        <w:tabs>
          <w:tab w:val="num" w:pos="5760"/>
        </w:tabs>
        <w:ind w:left="5760" w:hanging="360"/>
      </w:pPr>
      <w:rPr>
        <w:rFonts w:ascii="Arial" w:hAnsi="Arial" w:hint="default"/>
      </w:rPr>
    </w:lvl>
    <w:lvl w:ilvl="8" w:tplc="70D635A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8A10D00"/>
    <w:multiLevelType w:val="hybridMultilevel"/>
    <w:tmpl w:val="7CD2DFFC"/>
    <w:lvl w:ilvl="0" w:tplc="8BA6072C">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20538683">
    <w:abstractNumId w:val="6"/>
  </w:num>
  <w:num w:numId="2" w16cid:durableId="1669627234">
    <w:abstractNumId w:val="22"/>
  </w:num>
  <w:num w:numId="3" w16cid:durableId="640961315">
    <w:abstractNumId w:val="7"/>
  </w:num>
  <w:num w:numId="4" w16cid:durableId="1819957910">
    <w:abstractNumId w:val="3"/>
  </w:num>
  <w:num w:numId="5" w16cid:durableId="2035501379">
    <w:abstractNumId w:val="8"/>
  </w:num>
  <w:num w:numId="6" w16cid:durableId="1258752475">
    <w:abstractNumId w:val="33"/>
  </w:num>
  <w:num w:numId="7" w16cid:durableId="1742022542">
    <w:abstractNumId w:val="18"/>
  </w:num>
  <w:num w:numId="8" w16cid:durableId="1408650368">
    <w:abstractNumId w:val="17"/>
  </w:num>
  <w:num w:numId="9" w16cid:durableId="455681700">
    <w:abstractNumId w:val="27"/>
  </w:num>
  <w:num w:numId="10" w16cid:durableId="856038718">
    <w:abstractNumId w:val="19"/>
  </w:num>
  <w:num w:numId="11" w16cid:durableId="1192953866">
    <w:abstractNumId w:val="20"/>
  </w:num>
  <w:num w:numId="12" w16cid:durableId="1097285330">
    <w:abstractNumId w:val="24"/>
  </w:num>
  <w:num w:numId="13" w16cid:durableId="1326588593">
    <w:abstractNumId w:val="32"/>
  </w:num>
  <w:num w:numId="14" w16cid:durableId="432365568">
    <w:abstractNumId w:val="25"/>
  </w:num>
  <w:num w:numId="15" w16cid:durableId="1968387091">
    <w:abstractNumId w:val="2"/>
  </w:num>
  <w:num w:numId="16" w16cid:durableId="1132482295">
    <w:abstractNumId w:val="1"/>
  </w:num>
  <w:num w:numId="17" w16cid:durableId="108206677">
    <w:abstractNumId w:val="10"/>
  </w:num>
  <w:num w:numId="18" w16cid:durableId="846099429">
    <w:abstractNumId w:val="12"/>
  </w:num>
  <w:num w:numId="19" w16cid:durableId="2141611224">
    <w:abstractNumId w:val="29"/>
  </w:num>
  <w:num w:numId="20" w16cid:durableId="956369217">
    <w:abstractNumId w:val="23"/>
  </w:num>
  <w:num w:numId="21" w16cid:durableId="2016833212">
    <w:abstractNumId w:val="0"/>
  </w:num>
  <w:num w:numId="22" w16cid:durableId="1679193482">
    <w:abstractNumId w:val="30"/>
  </w:num>
  <w:num w:numId="23" w16cid:durableId="456223113">
    <w:abstractNumId w:val="26"/>
  </w:num>
  <w:num w:numId="24" w16cid:durableId="560166973">
    <w:abstractNumId w:val="4"/>
  </w:num>
  <w:num w:numId="25" w16cid:durableId="2106880126">
    <w:abstractNumId w:val="21"/>
  </w:num>
  <w:num w:numId="26" w16cid:durableId="1311789078">
    <w:abstractNumId w:val="28"/>
  </w:num>
  <w:num w:numId="27" w16cid:durableId="714743106">
    <w:abstractNumId w:val="31"/>
  </w:num>
  <w:num w:numId="28" w16cid:durableId="1312901880">
    <w:abstractNumId w:val="5"/>
  </w:num>
  <w:num w:numId="29" w16cid:durableId="942149188">
    <w:abstractNumId w:val="11"/>
  </w:num>
  <w:num w:numId="30" w16cid:durableId="1549292938">
    <w:abstractNumId w:val="15"/>
  </w:num>
  <w:num w:numId="31" w16cid:durableId="1169444425">
    <w:abstractNumId w:val="13"/>
  </w:num>
  <w:num w:numId="32" w16cid:durableId="594098692">
    <w:abstractNumId w:val="16"/>
  </w:num>
  <w:num w:numId="33" w16cid:durableId="595214920">
    <w:abstractNumId w:val="9"/>
  </w:num>
  <w:num w:numId="34" w16cid:durableId="195008994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41"/>
    <w:rsid w:val="0000127E"/>
    <w:rsid w:val="00002976"/>
    <w:rsid w:val="00004E4F"/>
    <w:rsid w:val="00007FD5"/>
    <w:rsid w:val="00011FBA"/>
    <w:rsid w:val="000120D5"/>
    <w:rsid w:val="000125DD"/>
    <w:rsid w:val="00014D03"/>
    <w:rsid w:val="00016E06"/>
    <w:rsid w:val="0002063E"/>
    <w:rsid w:val="00020650"/>
    <w:rsid w:val="000213DF"/>
    <w:rsid w:val="00021565"/>
    <w:rsid w:val="00021C14"/>
    <w:rsid w:val="00023074"/>
    <w:rsid w:val="00026D38"/>
    <w:rsid w:val="00030731"/>
    <w:rsid w:val="00032749"/>
    <w:rsid w:val="00032C59"/>
    <w:rsid w:val="00034207"/>
    <w:rsid w:val="00036269"/>
    <w:rsid w:val="00036C80"/>
    <w:rsid w:val="00040CE5"/>
    <w:rsid w:val="00042432"/>
    <w:rsid w:val="00044209"/>
    <w:rsid w:val="00044339"/>
    <w:rsid w:val="00044E74"/>
    <w:rsid w:val="00045E00"/>
    <w:rsid w:val="00046BBB"/>
    <w:rsid w:val="00046DDA"/>
    <w:rsid w:val="000477A8"/>
    <w:rsid w:val="00050822"/>
    <w:rsid w:val="0005194A"/>
    <w:rsid w:val="00053805"/>
    <w:rsid w:val="00057C79"/>
    <w:rsid w:val="00061714"/>
    <w:rsid w:val="00062FA7"/>
    <w:rsid w:val="000662CD"/>
    <w:rsid w:val="00066711"/>
    <w:rsid w:val="0007553B"/>
    <w:rsid w:val="0007710C"/>
    <w:rsid w:val="0007712D"/>
    <w:rsid w:val="0007798E"/>
    <w:rsid w:val="00081099"/>
    <w:rsid w:val="000849A5"/>
    <w:rsid w:val="00085A57"/>
    <w:rsid w:val="00086741"/>
    <w:rsid w:val="00087EA8"/>
    <w:rsid w:val="0009046D"/>
    <w:rsid w:val="00095D82"/>
    <w:rsid w:val="000A08DF"/>
    <w:rsid w:val="000A44DA"/>
    <w:rsid w:val="000A5247"/>
    <w:rsid w:val="000A6E2B"/>
    <w:rsid w:val="000B1321"/>
    <w:rsid w:val="000B380C"/>
    <w:rsid w:val="000B4830"/>
    <w:rsid w:val="000B5228"/>
    <w:rsid w:val="000C11CC"/>
    <w:rsid w:val="000C23F6"/>
    <w:rsid w:val="000C391D"/>
    <w:rsid w:val="000C614F"/>
    <w:rsid w:val="000D1D2C"/>
    <w:rsid w:val="000D2EB3"/>
    <w:rsid w:val="000D6C58"/>
    <w:rsid w:val="000D705D"/>
    <w:rsid w:val="000E1655"/>
    <w:rsid w:val="000E32D5"/>
    <w:rsid w:val="000E41AB"/>
    <w:rsid w:val="000E6109"/>
    <w:rsid w:val="000E6F2E"/>
    <w:rsid w:val="000E7503"/>
    <w:rsid w:val="000F30CE"/>
    <w:rsid w:val="000F473A"/>
    <w:rsid w:val="000F502F"/>
    <w:rsid w:val="000F6562"/>
    <w:rsid w:val="000F75A0"/>
    <w:rsid w:val="00101099"/>
    <w:rsid w:val="00101C25"/>
    <w:rsid w:val="00102BEA"/>
    <w:rsid w:val="00103DF5"/>
    <w:rsid w:val="00104812"/>
    <w:rsid w:val="0010636F"/>
    <w:rsid w:val="00110EA9"/>
    <w:rsid w:val="00111DB1"/>
    <w:rsid w:val="001120B3"/>
    <w:rsid w:val="00112F1B"/>
    <w:rsid w:val="00114F4C"/>
    <w:rsid w:val="00120E17"/>
    <w:rsid w:val="001246E1"/>
    <w:rsid w:val="00125B02"/>
    <w:rsid w:val="00126484"/>
    <w:rsid w:val="00127632"/>
    <w:rsid w:val="00133EF3"/>
    <w:rsid w:val="001365B9"/>
    <w:rsid w:val="001374E8"/>
    <w:rsid w:val="00137DB2"/>
    <w:rsid w:val="00141A6B"/>
    <w:rsid w:val="0014271F"/>
    <w:rsid w:val="00143032"/>
    <w:rsid w:val="001430D1"/>
    <w:rsid w:val="00146976"/>
    <w:rsid w:val="00146ECA"/>
    <w:rsid w:val="00147241"/>
    <w:rsid w:val="00147FC7"/>
    <w:rsid w:val="00152017"/>
    <w:rsid w:val="001568CE"/>
    <w:rsid w:val="00157950"/>
    <w:rsid w:val="00161E47"/>
    <w:rsid w:val="0016423F"/>
    <w:rsid w:val="0016493C"/>
    <w:rsid w:val="001675A8"/>
    <w:rsid w:val="00167A25"/>
    <w:rsid w:val="0017221E"/>
    <w:rsid w:val="00173A9A"/>
    <w:rsid w:val="0017491B"/>
    <w:rsid w:val="0017767C"/>
    <w:rsid w:val="00177FEC"/>
    <w:rsid w:val="00180B34"/>
    <w:rsid w:val="00180C34"/>
    <w:rsid w:val="001815B7"/>
    <w:rsid w:val="001825EC"/>
    <w:rsid w:val="00182EE8"/>
    <w:rsid w:val="00185961"/>
    <w:rsid w:val="00186318"/>
    <w:rsid w:val="00191787"/>
    <w:rsid w:val="0019354E"/>
    <w:rsid w:val="00195D10"/>
    <w:rsid w:val="00196736"/>
    <w:rsid w:val="00197367"/>
    <w:rsid w:val="001A181B"/>
    <w:rsid w:val="001A507F"/>
    <w:rsid w:val="001A6465"/>
    <w:rsid w:val="001B1AC2"/>
    <w:rsid w:val="001B2AF0"/>
    <w:rsid w:val="001B6ECF"/>
    <w:rsid w:val="001B6FC9"/>
    <w:rsid w:val="001B7550"/>
    <w:rsid w:val="001B76C4"/>
    <w:rsid w:val="001B76F3"/>
    <w:rsid w:val="001C04D0"/>
    <w:rsid w:val="001C4335"/>
    <w:rsid w:val="001C494D"/>
    <w:rsid w:val="001C538D"/>
    <w:rsid w:val="001D1616"/>
    <w:rsid w:val="001D2742"/>
    <w:rsid w:val="001D338D"/>
    <w:rsid w:val="001D36EA"/>
    <w:rsid w:val="001D3FD0"/>
    <w:rsid w:val="001D5841"/>
    <w:rsid w:val="001D5B5B"/>
    <w:rsid w:val="001D5B83"/>
    <w:rsid w:val="001D7DAB"/>
    <w:rsid w:val="001E13FE"/>
    <w:rsid w:val="001E5689"/>
    <w:rsid w:val="001E677C"/>
    <w:rsid w:val="001F27F5"/>
    <w:rsid w:val="001F3453"/>
    <w:rsid w:val="00200873"/>
    <w:rsid w:val="00200C83"/>
    <w:rsid w:val="00201898"/>
    <w:rsid w:val="00203002"/>
    <w:rsid w:val="002032DE"/>
    <w:rsid w:val="0020538A"/>
    <w:rsid w:val="00207595"/>
    <w:rsid w:val="00210695"/>
    <w:rsid w:val="00214A92"/>
    <w:rsid w:val="00214E6F"/>
    <w:rsid w:val="002157F8"/>
    <w:rsid w:val="00217889"/>
    <w:rsid w:val="00217C6D"/>
    <w:rsid w:val="00220982"/>
    <w:rsid w:val="00221DC3"/>
    <w:rsid w:val="002228D0"/>
    <w:rsid w:val="00223798"/>
    <w:rsid w:val="00223C48"/>
    <w:rsid w:val="0022552F"/>
    <w:rsid w:val="002270D6"/>
    <w:rsid w:val="00230627"/>
    <w:rsid w:val="00231E52"/>
    <w:rsid w:val="00233707"/>
    <w:rsid w:val="0023550F"/>
    <w:rsid w:val="00237861"/>
    <w:rsid w:val="00237C05"/>
    <w:rsid w:val="00240A87"/>
    <w:rsid w:val="00240C86"/>
    <w:rsid w:val="00240EA3"/>
    <w:rsid w:val="0024185D"/>
    <w:rsid w:val="0024243D"/>
    <w:rsid w:val="00243FAE"/>
    <w:rsid w:val="0024444D"/>
    <w:rsid w:val="00244C50"/>
    <w:rsid w:val="0024684E"/>
    <w:rsid w:val="0025094D"/>
    <w:rsid w:val="00250D34"/>
    <w:rsid w:val="002519C3"/>
    <w:rsid w:val="0025276A"/>
    <w:rsid w:val="00253C47"/>
    <w:rsid w:val="00254174"/>
    <w:rsid w:val="00254A23"/>
    <w:rsid w:val="00255DD6"/>
    <w:rsid w:val="0025721B"/>
    <w:rsid w:val="00262B19"/>
    <w:rsid w:val="00262C6F"/>
    <w:rsid w:val="002635E1"/>
    <w:rsid w:val="00263B44"/>
    <w:rsid w:val="002644FB"/>
    <w:rsid w:val="00264ACC"/>
    <w:rsid w:val="002661DA"/>
    <w:rsid w:val="00266467"/>
    <w:rsid w:val="00270222"/>
    <w:rsid w:val="002725F3"/>
    <w:rsid w:val="00275FAC"/>
    <w:rsid w:val="002779E9"/>
    <w:rsid w:val="00280E27"/>
    <w:rsid w:val="00280E8F"/>
    <w:rsid w:val="00284920"/>
    <w:rsid w:val="002850ED"/>
    <w:rsid w:val="00286E02"/>
    <w:rsid w:val="00287467"/>
    <w:rsid w:val="002876C0"/>
    <w:rsid w:val="002879E1"/>
    <w:rsid w:val="00290778"/>
    <w:rsid w:val="0029081F"/>
    <w:rsid w:val="00294700"/>
    <w:rsid w:val="00294B9D"/>
    <w:rsid w:val="00296B3C"/>
    <w:rsid w:val="002A12AA"/>
    <w:rsid w:val="002A2D9A"/>
    <w:rsid w:val="002A40EC"/>
    <w:rsid w:val="002A46D3"/>
    <w:rsid w:val="002A58A3"/>
    <w:rsid w:val="002B0610"/>
    <w:rsid w:val="002B1551"/>
    <w:rsid w:val="002B1E87"/>
    <w:rsid w:val="002B1F3A"/>
    <w:rsid w:val="002B2A3B"/>
    <w:rsid w:val="002B2A91"/>
    <w:rsid w:val="002C0831"/>
    <w:rsid w:val="002C3555"/>
    <w:rsid w:val="002C4741"/>
    <w:rsid w:val="002C6749"/>
    <w:rsid w:val="002C6A0F"/>
    <w:rsid w:val="002C7242"/>
    <w:rsid w:val="002C7D8E"/>
    <w:rsid w:val="002C7E9A"/>
    <w:rsid w:val="002D3D77"/>
    <w:rsid w:val="002D5D99"/>
    <w:rsid w:val="002D69EB"/>
    <w:rsid w:val="002E1CAF"/>
    <w:rsid w:val="002E3370"/>
    <w:rsid w:val="002E5593"/>
    <w:rsid w:val="002E5688"/>
    <w:rsid w:val="002F12D4"/>
    <w:rsid w:val="002F27EC"/>
    <w:rsid w:val="002F605D"/>
    <w:rsid w:val="002F69E8"/>
    <w:rsid w:val="002F76E3"/>
    <w:rsid w:val="0030084C"/>
    <w:rsid w:val="00300F77"/>
    <w:rsid w:val="00303595"/>
    <w:rsid w:val="0030374F"/>
    <w:rsid w:val="00304616"/>
    <w:rsid w:val="00304F93"/>
    <w:rsid w:val="00306444"/>
    <w:rsid w:val="00310D72"/>
    <w:rsid w:val="00316FA4"/>
    <w:rsid w:val="00317120"/>
    <w:rsid w:val="003175BB"/>
    <w:rsid w:val="00320A70"/>
    <w:rsid w:val="003216B3"/>
    <w:rsid w:val="0032459E"/>
    <w:rsid w:val="003254EB"/>
    <w:rsid w:val="00327CDC"/>
    <w:rsid w:val="003334CE"/>
    <w:rsid w:val="00335747"/>
    <w:rsid w:val="00335CDC"/>
    <w:rsid w:val="00340526"/>
    <w:rsid w:val="003406BC"/>
    <w:rsid w:val="003413C1"/>
    <w:rsid w:val="00341621"/>
    <w:rsid w:val="003417AC"/>
    <w:rsid w:val="003453AC"/>
    <w:rsid w:val="00347865"/>
    <w:rsid w:val="00347CE5"/>
    <w:rsid w:val="00353F11"/>
    <w:rsid w:val="00356800"/>
    <w:rsid w:val="00356B3A"/>
    <w:rsid w:val="00356B3D"/>
    <w:rsid w:val="003602DE"/>
    <w:rsid w:val="003613B5"/>
    <w:rsid w:val="0036141C"/>
    <w:rsid w:val="00361484"/>
    <w:rsid w:val="0036160D"/>
    <w:rsid w:val="003641A7"/>
    <w:rsid w:val="00364DD6"/>
    <w:rsid w:val="00365162"/>
    <w:rsid w:val="00365596"/>
    <w:rsid w:val="00367828"/>
    <w:rsid w:val="00367EF7"/>
    <w:rsid w:val="00370463"/>
    <w:rsid w:val="003715F6"/>
    <w:rsid w:val="003727D3"/>
    <w:rsid w:val="00373287"/>
    <w:rsid w:val="003735DB"/>
    <w:rsid w:val="00373B11"/>
    <w:rsid w:val="00380498"/>
    <w:rsid w:val="00380B36"/>
    <w:rsid w:val="00380DDF"/>
    <w:rsid w:val="003819BB"/>
    <w:rsid w:val="003840C2"/>
    <w:rsid w:val="003845F9"/>
    <w:rsid w:val="00384B39"/>
    <w:rsid w:val="00385374"/>
    <w:rsid w:val="00385519"/>
    <w:rsid w:val="00385B59"/>
    <w:rsid w:val="00385FDE"/>
    <w:rsid w:val="0038652E"/>
    <w:rsid w:val="00391BD8"/>
    <w:rsid w:val="003952E0"/>
    <w:rsid w:val="00396E9E"/>
    <w:rsid w:val="003976D8"/>
    <w:rsid w:val="003A1238"/>
    <w:rsid w:val="003A16ED"/>
    <w:rsid w:val="003A265E"/>
    <w:rsid w:val="003A63F1"/>
    <w:rsid w:val="003A7199"/>
    <w:rsid w:val="003B26AE"/>
    <w:rsid w:val="003B3947"/>
    <w:rsid w:val="003B3C94"/>
    <w:rsid w:val="003B3E8D"/>
    <w:rsid w:val="003B46B7"/>
    <w:rsid w:val="003B5D67"/>
    <w:rsid w:val="003B74AD"/>
    <w:rsid w:val="003B7FBD"/>
    <w:rsid w:val="003C63FB"/>
    <w:rsid w:val="003C75A0"/>
    <w:rsid w:val="003C7896"/>
    <w:rsid w:val="003D0266"/>
    <w:rsid w:val="003D1771"/>
    <w:rsid w:val="003D17AE"/>
    <w:rsid w:val="003D7016"/>
    <w:rsid w:val="003E0100"/>
    <w:rsid w:val="003E3B55"/>
    <w:rsid w:val="003E4FA4"/>
    <w:rsid w:val="003E67CD"/>
    <w:rsid w:val="003F36D0"/>
    <w:rsid w:val="003F656E"/>
    <w:rsid w:val="00402DA5"/>
    <w:rsid w:val="00403EE4"/>
    <w:rsid w:val="00405003"/>
    <w:rsid w:val="00406362"/>
    <w:rsid w:val="0040798D"/>
    <w:rsid w:val="00410AAF"/>
    <w:rsid w:val="00412532"/>
    <w:rsid w:val="00412D0A"/>
    <w:rsid w:val="00414D19"/>
    <w:rsid w:val="004166E5"/>
    <w:rsid w:val="0041768D"/>
    <w:rsid w:val="00420C58"/>
    <w:rsid w:val="00420D74"/>
    <w:rsid w:val="00422A68"/>
    <w:rsid w:val="00424DA8"/>
    <w:rsid w:val="0042593D"/>
    <w:rsid w:val="0042678B"/>
    <w:rsid w:val="00427EF3"/>
    <w:rsid w:val="00427FDE"/>
    <w:rsid w:val="00430F1E"/>
    <w:rsid w:val="00431603"/>
    <w:rsid w:val="004332A3"/>
    <w:rsid w:val="004333A3"/>
    <w:rsid w:val="0043406E"/>
    <w:rsid w:val="00434100"/>
    <w:rsid w:val="00441D7E"/>
    <w:rsid w:val="00443717"/>
    <w:rsid w:val="004440D9"/>
    <w:rsid w:val="00444588"/>
    <w:rsid w:val="004470F7"/>
    <w:rsid w:val="00447DB8"/>
    <w:rsid w:val="00450286"/>
    <w:rsid w:val="00451937"/>
    <w:rsid w:val="00455087"/>
    <w:rsid w:val="004566DB"/>
    <w:rsid w:val="00460283"/>
    <w:rsid w:val="004623F2"/>
    <w:rsid w:val="00462AB2"/>
    <w:rsid w:val="004632EC"/>
    <w:rsid w:val="00465015"/>
    <w:rsid w:val="00466117"/>
    <w:rsid w:val="004673F4"/>
    <w:rsid w:val="00467D7E"/>
    <w:rsid w:val="00467E09"/>
    <w:rsid w:val="004736C8"/>
    <w:rsid w:val="004766E5"/>
    <w:rsid w:val="0047779F"/>
    <w:rsid w:val="004779B6"/>
    <w:rsid w:val="00481205"/>
    <w:rsid w:val="00481974"/>
    <w:rsid w:val="004823D2"/>
    <w:rsid w:val="00484184"/>
    <w:rsid w:val="00485DC9"/>
    <w:rsid w:val="0048772B"/>
    <w:rsid w:val="00493B21"/>
    <w:rsid w:val="004958AC"/>
    <w:rsid w:val="0049727F"/>
    <w:rsid w:val="00497E48"/>
    <w:rsid w:val="004A1F45"/>
    <w:rsid w:val="004A231F"/>
    <w:rsid w:val="004A5DF4"/>
    <w:rsid w:val="004B2CFD"/>
    <w:rsid w:val="004B3CF6"/>
    <w:rsid w:val="004B4540"/>
    <w:rsid w:val="004B4F7F"/>
    <w:rsid w:val="004B62DA"/>
    <w:rsid w:val="004B676D"/>
    <w:rsid w:val="004B6922"/>
    <w:rsid w:val="004B7BC3"/>
    <w:rsid w:val="004B7E7B"/>
    <w:rsid w:val="004C142A"/>
    <w:rsid w:val="004C18D7"/>
    <w:rsid w:val="004C6595"/>
    <w:rsid w:val="004C72BA"/>
    <w:rsid w:val="004D1DD1"/>
    <w:rsid w:val="004D4C3A"/>
    <w:rsid w:val="004D69CF"/>
    <w:rsid w:val="004D7B9F"/>
    <w:rsid w:val="004E0DA2"/>
    <w:rsid w:val="004E2541"/>
    <w:rsid w:val="004E48A9"/>
    <w:rsid w:val="004E6BA7"/>
    <w:rsid w:val="004E7C63"/>
    <w:rsid w:val="004F01A4"/>
    <w:rsid w:val="005011BC"/>
    <w:rsid w:val="005033E4"/>
    <w:rsid w:val="0050652A"/>
    <w:rsid w:val="0051075A"/>
    <w:rsid w:val="005113BB"/>
    <w:rsid w:val="00514C7B"/>
    <w:rsid w:val="0051776C"/>
    <w:rsid w:val="0052417D"/>
    <w:rsid w:val="005245A9"/>
    <w:rsid w:val="005255BF"/>
    <w:rsid w:val="00527EBB"/>
    <w:rsid w:val="00531533"/>
    <w:rsid w:val="005338A1"/>
    <w:rsid w:val="00535F63"/>
    <w:rsid w:val="00536E88"/>
    <w:rsid w:val="005376CA"/>
    <w:rsid w:val="00540B3D"/>
    <w:rsid w:val="005413A8"/>
    <w:rsid w:val="005419D6"/>
    <w:rsid w:val="0054443C"/>
    <w:rsid w:val="00546095"/>
    <w:rsid w:val="005461DE"/>
    <w:rsid w:val="0054662E"/>
    <w:rsid w:val="00547935"/>
    <w:rsid w:val="0055097A"/>
    <w:rsid w:val="00551768"/>
    <w:rsid w:val="0055491E"/>
    <w:rsid w:val="00554C9C"/>
    <w:rsid w:val="0056022B"/>
    <w:rsid w:val="00561878"/>
    <w:rsid w:val="00562CEE"/>
    <w:rsid w:val="00563214"/>
    <w:rsid w:val="005667DC"/>
    <w:rsid w:val="005677E8"/>
    <w:rsid w:val="00570C25"/>
    <w:rsid w:val="00570D30"/>
    <w:rsid w:val="00573006"/>
    <w:rsid w:val="00574842"/>
    <w:rsid w:val="00575160"/>
    <w:rsid w:val="0057635A"/>
    <w:rsid w:val="00576AC2"/>
    <w:rsid w:val="00577753"/>
    <w:rsid w:val="005779A2"/>
    <w:rsid w:val="0058654D"/>
    <w:rsid w:val="00587A6A"/>
    <w:rsid w:val="00591659"/>
    <w:rsid w:val="00594DC1"/>
    <w:rsid w:val="00596FAF"/>
    <w:rsid w:val="005A2146"/>
    <w:rsid w:val="005A341D"/>
    <w:rsid w:val="005A440C"/>
    <w:rsid w:val="005A6F7C"/>
    <w:rsid w:val="005A7116"/>
    <w:rsid w:val="005A7F88"/>
    <w:rsid w:val="005B1510"/>
    <w:rsid w:val="005B1C78"/>
    <w:rsid w:val="005B3C43"/>
    <w:rsid w:val="005B53F6"/>
    <w:rsid w:val="005C089D"/>
    <w:rsid w:val="005C11B6"/>
    <w:rsid w:val="005C31B2"/>
    <w:rsid w:val="005C442D"/>
    <w:rsid w:val="005C5BB3"/>
    <w:rsid w:val="005D63FF"/>
    <w:rsid w:val="005E06D8"/>
    <w:rsid w:val="005E2A0B"/>
    <w:rsid w:val="005E382B"/>
    <w:rsid w:val="005E46E6"/>
    <w:rsid w:val="005E65F2"/>
    <w:rsid w:val="005E692C"/>
    <w:rsid w:val="005F11F4"/>
    <w:rsid w:val="005F17BB"/>
    <w:rsid w:val="005F3CD6"/>
    <w:rsid w:val="005F3F24"/>
    <w:rsid w:val="005F47ED"/>
    <w:rsid w:val="005F660B"/>
    <w:rsid w:val="005F7464"/>
    <w:rsid w:val="006045F5"/>
    <w:rsid w:val="00604718"/>
    <w:rsid w:val="00605A6D"/>
    <w:rsid w:val="00605A84"/>
    <w:rsid w:val="00611501"/>
    <w:rsid w:val="006160B3"/>
    <w:rsid w:val="00617110"/>
    <w:rsid w:val="0061749B"/>
    <w:rsid w:val="006202DF"/>
    <w:rsid w:val="0062177C"/>
    <w:rsid w:val="00622198"/>
    <w:rsid w:val="00622570"/>
    <w:rsid w:val="006239AA"/>
    <w:rsid w:val="00624359"/>
    <w:rsid w:val="006255E3"/>
    <w:rsid w:val="006265E5"/>
    <w:rsid w:val="006279BF"/>
    <w:rsid w:val="006336E7"/>
    <w:rsid w:val="00633DBF"/>
    <w:rsid w:val="006355E2"/>
    <w:rsid w:val="006363AC"/>
    <w:rsid w:val="006369E9"/>
    <w:rsid w:val="0064039C"/>
    <w:rsid w:val="006414DB"/>
    <w:rsid w:val="006444D7"/>
    <w:rsid w:val="006478B9"/>
    <w:rsid w:val="00650B53"/>
    <w:rsid w:val="00652AA2"/>
    <w:rsid w:val="006541F4"/>
    <w:rsid w:val="006556AE"/>
    <w:rsid w:val="0065636F"/>
    <w:rsid w:val="0065704D"/>
    <w:rsid w:val="00661035"/>
    <w:rsid w:val="00661AA2"/>
    <w:rsid w:val="00661C1B"/>
    <w:rsid w:val="0066422B"/>
    <w:rsid w:val="00665119"/>
    <w:rsid w:val="00666A4D"/>
    <w:rsid w:val="00667289"/>
    <w:rsid w:val="006703DE"/>
    <w:rsid w:val="006730A1"/>
    <w:rsid w:val="00673C8C"/>
    <w:rsid w:val="006765C0"/>
    <w:rsid w:val="00681352"/>
    <w:rsid w:val="00681F68"/>
    <w:rsid w:val="006854F6"/>
    <w:rsid w:val="00686EFC"/>
    <w:rsid w:val="00690670"/>
    <w:rsid w:val="0069134A"/>
    <w:rsid w:val="0069495F"/>
    <w:rsid w:val="006965AA"/>
    <w:rsid w:val="00697B90"/>
    <w:rsid w:val="00697ED8"/>
    <w:rsid w:val="006A0EA5"/>
    <w:rsid w:val="006A12AA"/>
    <w:rsid w:val="006A24B7"/>
    <w:rsid w:val="006A5738"/>
    <w:rsid w:val="006A6137"/>
    <w:rsid w:val="006A7E65"/>
    <w:rsid w:val="006B26ED"/>
    <w:rsid w:val="006B325C"/>
    <w:rsid w:val="006B3F93"/>
    <w:rsid w:val="006B6369"/>
    <w:rsid w:val="006B791B"/>
    <w:rsid w:val="006B792E"/>
    <w:rsid w:val="006C04F1"/>
    <w:rsid w:val="006C13F8"/>
    <w:rsid w:val="006C2BD5"/>
    <w:rsid w:val="006C3302"/>
    <w:rsid w:val="006C4706"/>
    <w:rsid w:val="006C6087"/>
    <w:rsid w:val="006C7279"/>
    <w:rsid w:val="006D52DA"/>
    <w:rsid w:val="006D5A8E"/>
    <w:rsid w:val="006D62BD"/>
    <w:rsid w:val="006D762F"/>
    <w:rsid w:val="006E169E"/>
    <w:rsid w:val="006E1DA3"/>
    <w:rsid w:val="006E2F10"/>
    <w:rsid w:val="006E33EA"/>
    <w:rsid w:val="006E3964"/>
    <w:rsid w:val="006E47C3"/>
    <w:rsid w:val="006F1ACE"/>
    <w:rsid w:val="006F1D02"/>
    <w:rsid w:val="006F2035"/>
    <w:rsid w:val="006F4665"/>
    <w:rsid w:val="006F4DB7"/>
    <w:rsid w:val="006F5868"/>
    <w:rsid w:val="006F6747"/>
    <w:rsid w:val="006F6819"/>
    <w:rsid w:val="006F7601"/>
    <w:rsid w:val="007037A7"/>
    <w:rsid w:val="00704982"/>
    <w:rsid w:val="00704C54"/>
    <w:rsid w:val="00704E36"/>
    <w:rsid w:val="00704F50"/>
    <w:rsid w:val="007062DA"/>
    <w:rsid w:val="00706D34"/>
    <w:rsid w:val="00707E8D"/>
    <w:rsid w:val="00710002"/>
    <w:rsid w:val="007103CD"/>
    <w:rsid w:val="0071114F"/>
    <w:rsid w:val="0071234B"/>
    <w:rsid w:val="00713C09"/>
    <w:rsid w:val="00720910"/>
    <w:rsid w:val="00724A61"/>
    <w:rsid w:val="00726204"/>
    <w:rsid w:val="007265A6"/>
    <w:rsid w:val="00730EC9"/>
    <w:rsid w:val="0073272C"/>
    <w:rsid w:val="0073273D"/>
    <w:rsid w:val="00741DB4"/>
    <w:rsid w:val="00743131"/>
    <w:rsid w:val="00744AE2"/>
    <w:rsid w:val="00747463"/>
    <w:rsid w:val="0074792B"/>
    <w:rsid w:val="00747E73"/>
    <w:rsid w:val="00750589"/>
    <w:rsid w:val="007515DB"/>
    <w:rsid w:val="00751EFB"/>
    <w:rsid w:val="00755C68"/>
    <w:rsid w:val="00756200"/>
    <w:rsid w:val="00760F82"/>
    <w:rsid w:val="007616ED"/>
    <w:rsid w:val="00762441"/>
    <w:rsid w:val="00762AEF"/>
    <w:rsid w:val="00765B6D"/>
    <w:rsid w:val="00765BAD"/>
    <w:rsid w:val="00767514"/>
    <w:rsid w:val="007679D2"/>
    <w:rsid w:val="0077125D"/>
    <w:rsid w:val="0077195E"/>
    <w:rsid w:val="0077222F"/>
    <w:rsid w:val="00772815"/>
    <w:rsid w:val="00772EA5"/>
    <w:rsid w:val="00776847"/>
    <w:rsid w:val="00780732"/>
    <w:rsid w:val="00780FB1"/>
    <w:rsid w:val="007817A0"/>
    <w:rsid w:val="0078232F"/>
    <w:rsid w:val="0078635B"/>
    <w:rsid w:val="00787544"/>
    <w:rsid w:val="007876C8"/>
    <w:rsid w:val="007901B8"/>
    <w:rsid w:val="0079215E"/>
    <w:rsid w:val="00792B8A"/>
    <w:rsid w:val="00795B8A"/>
    <w:rsid w:val="007967A6"/>
    <w:rsid w:val="007972C4"/>
    <w:rsid w:val="007A0AA7"/>
    <w:rsid w:val="007A1158"/>
    <w:rsid w:val="007A34EF"/>
    <w:rsid w:val="007A65C4"/>
    <w:rsid w:val="007A699B"/>
    <w:rsid w:val="007A7F03"/>
    <w:rsid w:val="007B50B7"/>
    <w:rsid w:val="007C05A6"/>
    <w:rsid w:val="007C343A"/>
    <w:rsid w:val="007C6957"/>
    <w:rsid w:val="007C75A2"/>
    <w:rsid w:val="007C780E"/>
    <w:rsid w:val="007D59A1"/>
    <w:rsid w:val="007E2B10"/>
    <w:rsid w:val="007E356A"/>
    <w:rsid w:val="007E6C8A"/>
    <w:rsid w:val="007F13C2"/>
    <w:rsid w:val="007F2952"/>
    <w:rsid w:val="007F36A7"/>
    <w:rsid w:val="007F5EDC"/>
    <w:rsid w:val="007F5F05"/>
    <w:rsid w:val="00800B45"/>
    <w:rsid w:val="0080293A"/>
    <w:rsid w:val="0081241D"/>
    <w:rsid w:val="00812DF7"/>
    <w:rsid w:val="008222AD"/>
    <w:rsid w:val="00823AA0"/>
    <w:rsid w:val="00824261"/>
    <w:rsid w:val="008248C1"/>
    <w:rsid w:val="0082496A"/>
    <w:rsid w:val="008257AC"/>
    <w:rsid w:val="008263D9"/>
    <w:rsid w:val="008304DA"/>
    <w:rsid w:val="00831DB6"/>
    <w:rsid w:val="00832AF8"/>
    <w:rsid w:val="00832E82"/>
    <w:rsid w:val="00833ACA"/>
    <w:rsid w:val="00833CB5"/>
    <w:rsid w:val="00835168"/>
    <w:rsid w:val="00836644"/>
    <w:rsid w:val="008377A2"/>
    <w:rsid w:val="0084062B"/>
    <w:rsid w:val="00841D43"/>
    <w:rsid w:val="00843AFB"/>
    <w:rsid w:val="00844D13"/>
    <w:rsid w:val="008450D6"/>
    <w:rsid w:val="00846F89"/>
    <w:rsid w:val="0085125A"/>
    <w:rsid w:val="00852B58"/>
    <w:rsid w:val="00854768"/>
    <w:rsid w:val="0085485F"/>
    <w:rsid w:val="00855927"/>
    <w:rsid w:val="0085669C"/>
    <w:rsid w:val="00856C8C"/>
    <w:rsid w:val="008616CF"/>
    <w:rsid w:val="008617E6"/>
    <w:rsid w:val="008642AF"/>
    <w:rsid w:val="00864393"/>
    <w:rsid w:val="008649C6"/>
    <w:rsid w:val="00865D61"/>
    <w:rsid w:val="00866517"/>
    <w:rsid w:val="00873DE9"/>
    <w:rsid w:val="00875194"/>
    <w:rsid w:val="008760F3"/>
    <w:rsid w:val="00877630"/>
    <w:rsid w:val="008807A5"/>
    <w:rsid w:val="00881CE8"/>
    <w:rsid w:val="00882AC7"/>
    <w:rsid w:val="00886884"/>
    <w:rsid w:val="00887920"/>
    <w:rsid w:val="00891054"/>
    <w:rsid w:val="008945C5"/>
    <w:rsid w:val="00897F1E"/>
    <w:rsid w:val="008A08BC"/>
    <w:rsid w:val="008A2BF2"/>
    <w:rsid w:val="008A40C3"/>
    <w:rsid w:val="008A493D"/>
    <w:rsid w:val="008A581C"/>
    <w:rsid w:val="008B1EBB"/>
    <w:rsid w:val="008B3D20"/>
    <w:rsid w:val="008B521B"/>
    <w:rsid w:val="008B55FA"/>
    <w:rsid w:val="008B6813"/>
    <w:rsid w:val="008C1520"/>
    <w:rsid w:val="008D0528"/>
    <w:rsid w:val="008D0CED"/>
    <w:rsid w:val="008D214A"/>
    <w:rsid w:val="008D3023"/>
    <w:rsid w:val="008D371C"/>
    <w:rsid w:val="008D5E6B"/>
    <w:rsid w:val="008D64B8"/>
    <w:rsid w:val="008D6CF0"/>
    <w:rsid w:val="008F4334"/>
    <w:rsid w:val="008F61A1"/>
    <w:rsid w:val="008F6BC5"/>
    <w:rsid w:val="008F7A25"/>
    <w:rsid w:val="00900861"/>
    <w:rsid w:val="00901AF2"/>
    <w:rsid w:val="009026B5"/>
    <w:rsid w:val="00903498"/>
    <w:rsid w:val="00905BCA"/>
    <w:rsid w:val="00906DC8"/>
    <w:rsid w:val="0091124B"/>
    <w:rsid w:val="009137CF"/>
    <w:rsid w:val="00914723"/>
    <w:rsid w:val="009152A7"/>
    <w:rsid w:val="00916B6D"/>
    <w:rsid w:val="009239D1"/>
    <w:rsid w:val="00924014"/>
    <w:rsid w:val="00924797"/>
    <w:rsid w:val="00924BBE"/>
    <w:rsid w:val="00931019"/>
    <w:rsid w:val="00931794"/>
    <w:rsid w:val="00931E19"/>
    <w:rsid w:val="00932B58"/>
    <w:rsid w:val="00933FB7"/>
    <w:rsid w:val="00934C9B"/>
    <w:rsid w:val="009352CB"/>
    <w:rsid w:val="00937069"/>
    <w:rsid w:val="00937270"/>
    <w:rsid w:val="0094014C"/>
    <w:rsid w:val="00940DD4"/>
    <w:rsid w:val="00943D4A"/>
    <w:rsid w:val="0094436D"/>
    <w:rsid w:val="00944F2B"/>
    <w:rsid w:val="00945A8A"/>
    <w:rsid w:val="00946BEB"/>
    <w:rsid w:val="00951543"/>
    <w:rsid w:val="0095163D"/>
    <w:rsid w:val="00955608"/>
    <w:rsid w:val="009566A7"/>
    <w:rsid w:val="00956F9B"/>
    <w:rsid w:val="0096035A"/>
    <w:rsid w:val="009632F5"/>
    <w:rsid w:val="009635BC"/>
    <w:rsid w:val="00967BD5"/>
    <w:rsid w:val="009719AD"/>
    <w:rsid w:val="00973746"/>
    <w:rsid w:val="00973C86"/>
    <w:rsid w:val="00973CB8"/>
    <w:rsid w:val="00974164"/>
    <w:rsid w:val="00974B81"/>
    <w:rsid w:val="00975719"/>
    <w:rsid w:val="0097718E"/>
    <w:rsid w:val="009817F4"/>
    <w:rsid w:val="00982F65"/>
    <w:rsid w:val="00983C8E"/>
    <w:rsid w:val="0098604C"/>
    <w:rsid w:val="00990702"/>
    <w:rsid w:val="00991D9C"/>
    <w:rsid w:val="00992CA6"/>
    <w:rsid w:val="00996B37"/>
    <w:rsid w:val="00996D8A"/>
    <w:rsid w:val="009A0327"/>
    <w:rsid w:val="009A09E6"/>
    <w:rsid w:val="009A2FDD"/>
    <w:rsid w:val="009A427A"/>
    <w:rsid w:val="009B20F9"/>
    <w:rsid w:val="009B305E"/>
    <w:rsid w:val="009B4091"/>
    <w:rsid w:val="009B4A95"/>
    <w:rsid w:val="009B51F8"/>
    <w:rsid w:val="009B5988"/>
    <w:rsid w:val="009B5E9A"/>
    <w:rsid w:val="009B69F6"/>
    <w:rsid w:val="009C0957"/>
    <w:rsid w:val="009C09AB"/>
    <w:rsid w:val="009C1CBE"/>
    <w:rsid w:val="009C2FBC"/>
    <w:rsid w:val="009C5CE9"/>
    <w:rsid w:val="009D23C7"/>
    <w:rsid w:val="009D5618"/>
    <w:rsid w:val="009D5C52"/>
    <w:rsid w:val="009D66DA"/>
    <w:rsid w:val="009D71DF"/>
    <w:rsid w:val="009D73A0"/>
    <w:rsid w:val="009E0BB2"/>
    <w:rsid w:val="009E0C41"/>
    <w:rsid w:val="009E2193"/>
    <w:rsid w:val="009E2BEC"/>
    <w:rsid w:val="009E42EE"/>
    <w:rsid w:val="009E6809"/>
    <w:rsid w:val="009F17A5"/>
    <w:rsid w:val="009F2440"/>
    <w:rsid w:val="009F2E76"/>
    <w:rsid w:val="009F302E"/>
    <w:rsid w:val="009F4EE9"/>
    <w:rsid w:val="009F5979"/>
    <w:rsid w:val="009F5A3E"/>
    <w:rsid w:val="009F747B"/>
    <w:rsid w:val="009F772B"/>
    <w:rsid w:val="00A00DED"/>
    <w:rsid w:val="00A0369B"/>
    <w:rsid w:val="00A04498"/>
    <w:rsid w:val="00A05A27"/>
    <w:rsid w:val="00A070B5"/>
    <w:rsid w:val="00A0729B"/>
    <w:rsid w:val="00A10625"/>
    <w:rsid w:val="00A123E4"/>
    <w:rsid w:val="00A128A6"/>
    <w:rsid w:val="00A13F09"/>
    <w:rsid w:val="00A145BE"/>
    <w:rsid w:val="00A14848"/>
    <w:rsid w:val="00A14E0F"/>
    <w:rsid w:val="00A1737E"/>
    <w:rsid w:val="00A2117A"/>
    <w:rsid w:val="00A23497"/>
    <w:rsid w:val="00A255D8"/>
    <w:rsid w:val="00A3035E"/>
    <w:rsid w:val="00A32FA1"/>
    <w:rsid w:val="00A33291"/>
    <w:rsid w:val="00A335D3"/>
    <w:rsid w:val="00A3465C"/>
    <w:rsid w:val="00A34F70"/>
    <w:rsid w:val="00A37B2F"/>
    <w:rsid w:val="00A40225"/>
    <w:rsid w:val="00A43550"/>
    <w:rsid w:val="00A4463A"/>
    <w:rsid w:val="00A44DB8"/>
    <w:rsid w:val="00A4711F"/>
    <w:rsid w:val="00A47181"/>
    <w:rsid w:val="00A507BE"/>
    <w:rsid w:val="00A50961"/>
    <w:rsid w:val="00A51E14"/>
    <w:rsid w:val="00A52CA1"/>
    <w:rsid w:val="00A5634C"/>
    <w:rsid w:val="00A60125"/>
    <w:rsid w:val="00A6092D"/>
    <w:rsid w:val="00A67699"/>
    <w:rsid w:val="00A67A3A"/>
    <w:rsid w:val="00A70580"/>
    <w:rsid w:val="00A7108E"/>
    <w:rsid w:val="00A73C42"/>
    <w:rsid w:val="00A7416A"/>
    <w:rsid w:val="00A76D54"/>
    <w:rsid w:val="00A8062D"/>
    <w:rsid w:val="00A81645"/>
    <w:rsid w:val="00A82CB0"/>
    <w:rsid w:val="00A83562"/>
    <w:rsid w:val="00A83F4C"/>
    <w:rsid w:val="00A846E0"/>
    <w:rsid w:val="00A84C66"/>
    <w:rsid w:val="00A8744F"/>
    <w:rsid w:val="00A87640"/>
    <w:rsid w:val="00A924EF"/>
    <w:rsid w:val="00A925ED"/>
    <w:rsid w:val="00A949A8"/>
    <w:rsid w:val="00A95807"/>
    <w:rsid w:val="00A96BE2"/>
    <w:rsid w:val="00A96C22"/>
    <w:rsid w:val="00AA2267"/>
    <w:rsid w:val="00AA32D3"/>
    <w:rsid w:val="00AA4298"/>
    <w:rsid w:val="00AA593D"/>
    <w:rsid w:val="00AA5F34"/>
    <w:rsid w:val="00AA7BDB"/>
    <w:rsid w:val="00AA7E49"/>
    <w:rsid w:val="00AB0064"/>
    <w:rsid w:val="00AB32E3"/>
    <w:rsid w:val="00AB3329"/>
    <w:rsid w:val="00AB39AA"/>
    <w:rsid w:val="00AB3BBF"/>
    <w:rsid w:val="00AB6D11"/>
    <w:rsid w:val="00AB7A69"/>
    <w:rsid w:val="00AC0C3A"/>
    <w:rsid w:val="00AC1BB6"/>
    <w:rsid w:val="00AD17E4"/>
    <w:rsid w:val="00AD1F73"/>
    <w:rsid w:val="00AD5116"/>
    <w:rsid w:val="00AD5C3D"/>
    <w:rsid w:val="00AD67FB"/>
    <w:rsid w:val="00AE2F6A"/>
    <w:rsid w:val="00AE5319"/>
    <w:rsid w:val="00AE6F81"/>
    <w:rsid w:val="00AF00C4"/>
    <w:rsid w:val="00AF19AD"/>
    <w:rsid w:val="00AF2421"/>
    <w:rsid w:val="00AF27CC"/>
    <w:rsid w:val="00AF35A7"/>
    <w:rsid w:val="00AF3BFD"/>
    <w:rsid w:val="00AF59DF"/>
    <w:rsid w:val="00B04711"/>
    <w:rsid w:val="00B04969"/>
    <w:rsid w:val="00B052CD"/>
    <w:rsid w:val="00B063E9"/>
    <w:rsid w:val="00B10274"/>
    <w:rsid w:val="00B10871"/>
    <w:rsid w:val="00B13F37"/>
    <w:rsid w:val="00B1598E"/>
    <w:rsid w:val="00B16B15"/>
    <w:rsid w:val="00B2143C"/>
    <w:rsid w:val="00B30194"/>
    <w:rsid w:val="00B32E13"/>
    <w:rsid w:val="00B33070"/>
    <w:rsid w:val="00B3500A"/>
    <w:rsid w:val="00B35DF6"/>
    <w:rsid w:val="00B37B98"/>
    <w:rsid w:val="00B411AF"/>
    <w:rsid w:val="00B440D6"/>
    <w:rsid w:val="00B51535"/>
    <w:rsid w:val="00B5478A"/>
    <w:rsid w:val="00B5606D"/>
    <w:rsid w:val="00B5660F"/>
    <w:rsid w:val="00B57340"/>
    <w:rsid w:val="00B63F66"/>
    <w:rsid w:val="00B65160"/>
    <w:rsid w:val="00B70D18"/>
    <w:rsid w:val="00B71803"/>
    <w:rsid w:val="00B766F3"/>
    <w:rsid w:val="00B824F8"/>
    <w:rsid w:val="00B86407"/>
    <w:rsid w:val="00B95CA6"/>
    <w:rsid w:val="00B95CC8"/>
    <w:rsid w:val="00B9652C"/>
    <w:rsid w:val="00BA1CE7"/>
    <w:rsid w:val="00BA3960"/>
    <w:rsid w:val="00BA635D"/>
    <w:rsid w:val="00BA7CBE"/>
    <w:rsid w:val="00BB05CE"/>
    <w:rsid w:val="00BB47A5"/>
    <w:rsid w:val="00BB5B1C"/>
    <w:rsid w:val="00BB676C"/>
    <w:rsid w:val="00BB72C3"/>
    <w:rsid w:val="00BC2E1C"/>
    <w:rsid w:val="00BC38E8"/>
    <w:rsid w:val="00BC3A16"/>
    <w:rsid w:val="00BC4B8C"/>
    <w:rsid w:val="00BC63E4"/>
    <w:rsid w:val="00BD15BE"/>
    <w:rsid w:val="00BD1DA8"/>
    <w:rsid w:val="00BD2B51"/>
    <w:rsid w:val="00BD3484"/>
    <w:rsid w:val="00BD3D97"/>
    <w:rsid w:val="00BD430F"/>
    <w:rsid w:val="00BD594B"/>
    <w:rsid w:val="00BD5AC5"/>
    <w:rsid w:val="00BD653E"/>
    <w:rsid w:val="00BD67C5"/>
    <w:rsid w:val="00BE555B"/>
    <w:rsid w:val="00BF11EC"/>
    <w:rsid w:val="00BF2782"/>
    <w:rsid w:val="00BF3814"/>
    <w:rsid w:val="00BF6013"/>
    <w:rsid w:val="00BF67B3"/>
    <w:rsid w:val="00C00B9E"/>
    <w:rsid w:val="00C0171E"/>
    <w:rsid w:val="00C02E7A"/>
    <w:rsid w:val="00C05A58"/>
    <w:rsid w:val="00C06ED0"/>
    <w:rsid w:val="00C07D5A"/>
    <w:rsid w:val="00C101CB"/>
    <w:rsid w:val="00C10EA1"/>
    <w:rsid w:val="00C1381B"/>
    <w:rsid w:val="00C1471E"/>
    <w:rsid w:val="00C15447"/>
    <w:rsid w:val="00C159F1"/>
    <w:rsid w:val="00C21812"/>
    <w:rsid w:val="00C254F8"/>
    <w:rsid w:val="00C26BA0"/>
    <w:rsid w:val="00C26EEF"/>
    <w:rsid w:val="00C3500F"/>
    <w:rsid w:val="00C35961"/>
    <w:rsid w:val="00C35965"/>
    <w:rsid w:val="00C3642A"/>
    <w:rsid w:val="00C36626"/>
    <w:rsid w:val="00C402AC"/>
    <w:rsid w:val="00C40F81"/>
    <w:rsid w:val="00C4275D"/>
    <w:rsid w:val="00C42762"/>
    <w:rsid w:val="00C43500"/>
    <w:rsid w:val="00C43B2E"/>
    <w:rsid w:val="00C43C7C"/>
    <w:rsid w:val="00C449BD"/>
    <w:rsid w:val="00C44E41"/>
    <w:rsid w:val="00C45E68"/>
    <w:rsid w:val="00C45FA3"/>
    <w:rsid w:val="00C469B1"/>
    <w:rsid w:val="00C46A5E"/>
    <w:rsid w:val="00C47761"/>
    <w:rsid w:val="00C513C2"/>
    <w:rsid w:val="00C5155B"/>
    <w:rsid w:val="00C5377D"/>
    <w:rsid w:val="00C53BAA"/>
    <w:rsid w:val="00C54042"/>
    <w:rsid w:val="00C55B0B"/>
    <w:rsid w:val="00C56531"/>
    <w:rsid w:val="00C56C2C"/>
    <w:rsid w:val="00C57C8E"/>
    <w:rsid w:val="00C610E1"/>
    <w:rsid w:val="00C6271F"/>
    <w:rsid w:val="00C62AA3"/>
    <w:rsid w:val="00C637C8"/>
    <w:rsid w:val="00C63E1F"/>
    <w:rsid w:val="00C66A8D"/>
    <w:rsid w:val="00C66DB5"/>
    <w:rsid w:val="00C672D4"/>
    <w:rsid w:val="00C67FDC"/>
    <w:rsid w:val="00C725C1"/>
    <w:rsid w:val="00C769BB"/>
    <w:rsid w:val="00C76EB2"/>
    <w:rsid w:val="00C77DF1"/>
    <w:rsid w:val="00C77F24"/>
    <w:rsid w:val="00C80CCD"/>
    <w:rsid w:val="00C834B6"/>
    <w:rsid w:val="00C834FA"/>
    <w:rsid w:val="00C86099"/>
    <w:rsid w:val="00C86AD5"/>
    <w:rsid w:val="00C8781E"/>
    <w:rsid w:val="00C94BD0"/>
    <w:rsid w:val="00C9653A"/>
    <w:rsid w:val="00CA284D"/>
    <w:rsid w:val="00CA2883"/>
    <w:rsid w:val="00CA44EF"/>
    <w:rsid w:val="00CA6AC1"/>
    <w:rsid w:val="00CB11F4"/>
    <w:rsid w:val="00CB2215"/>
    <w:rsid w:val="00CB314C"/>
    <w:rsid w:val="00CB3937"/>
    <w:rsid w:val="00CB616D"/>
    <w:rsid w:val="00CB63C9"/>
    <w:rsid w:val="00CB6464"/>
    <w:rsid w:val="00CB6655"/>
    <w:rsid w:val="00CC06FF"/>
    <w:rsid w:val="00CC08D8"/>
    <w:rsid w:val="00CC1087"/>
    <w:rsid w:val="00CC2995"/>
    <w:rsid w:val="00CC6052"/>
    <w:rsid w:val="00CC632A"/>
    <w:rsid w:val="00CC6A6C"/>
    <w:rsid w:val="00CC7F1C"/>
    <w:rsid w:val="00CD2661"/>
    <w:rsid w:val="00CD3BD8"/>
    <w:rsid w:val="00CD42B7"/>
    <w:rsid w:val="00CD5C6D"/>
    <w:rsid w:val="00CD6D38"/>
    <w:rsid w:val="00CD6F9E"/>
    <w:rsid w:val="00CD73AB"/>
    <w:rsid w:val="00CE00FC"/>
    <w:rsid w:val="00CE4116"/>
    <w:rsid w:val="00CE549E"/>
    <w:rsid w:val="00CE58FB"/>
    <w:rsid w:val="00CF31BC"/>
    <w:rsid w:val="00CF3B30"/>
    <w:rsid w:val="00CF54F9"/>
    <w:rsid w:val="00CF735B"/>
    <w:rsid w:val="00D01FFF"/>
    <w:rsid w:val="00D041C4"/>
    <w:rsid w:val="00D04E7B"/>
    <w:rsid w:val="00D056CE"/>
    <w:rsid w:val="00D05E61"/>
    <w:rsid w:val="00D06536"/>
    <w:rsid w:val="00D1171A"/>
    <w:rsid w:val="00D1316E"/>
    <w:rsid w:val="00D14960"/>
    <w:rsid w:val="00D14D26"/>
    <w:rsid w:val="00D20B7F"/>
    <w:rsid w:val="00D217F6"/>
    <w:rsid w:val="00D21FFE"/>
    <w:rsid w:val="00D234C9"/>
    <w:rsid w:val="00D2458A"/>
    <w:rsid w:val="00D26DB1"/>
    <w:rsid w:val="00D30D37"/>
    <w:rsid w:val="00D3112D"/>
    <w:rsid w:val="00D31F9C"/>
    <w:rsid w:val="00D32D6A"/>
    <w:rsid w:val="00D33ADB"/>
    <w:rsid w:val="00D40156"/>
    <w:rsid w:val="00D45BFE"/>
    <w:rsid w:val="00D47E59"/>
    <w:rsid w:val="00D47ECE"/>
    <w:rsid w:val="00D51302"/>
    <w:rsid w:val="00D521AA"/>
    <w:rsid w:val="00D56C43"/>
    <w:rsid w:val="00D630CC"/>
    <w:rsid w:val="00D65727"/>
    <w:rsid w:val="00D679A9"/>
    <w:rsid w:val="00D70B3C"/>
    <w:rsid w:val="00D712E8"/>
    <w:rsid w:val="00D75661"/>
    <w:rsid w:val="00D75A57"/>
    <w:rsid w:val="00D8145E"/>
    <w:rsid w:val="00D828A3"/>
    <w:rsid w:val="00D831BD"/>
    <w:rsid w:val="00D83FF3"/>
    <w:rsid w:val="00D84EC7"/>
    <w:rsid w:val="00D904A5"/>
    <w:rsid w:val="00D90B61"/>
    <w:rsid w:val="00D90F45"/>
    <w:rsid w:val="00D91738"/>
    <w:rsid w:val="00D9190F"/>
    <w:rsid w:val="00D93F63"/>
    <w:rsid w:val="00D948B3"/>
    <w:rsid w:val="00D95D37"/>
    <w:rsid w:val="00D96D29"/>
    <w:rsid w:val="00D9739C"/>
    <w:rsid w:val="00DA0B40"/>
    <w:rsid w:val="00DA12AE"/>
    <w:rsid w:val="00DA1321"/>
    <w:rsid w:val="00DA13AE"/>
    <w:rsid w:val="00DA2F90"/>
    <w:rsid w:val="00DA33AB"/>
    <w:rsid w:val="00DA3623"/>
    <w:rsid w:val="00DA3BB7"/>
    <w:rsid w:val="00DA4876"/>
    <w:rsid w:val="00DA7ADB"/>
    <w:rsid w:val="00DB0E2C"/>
    <w:rsid w:val="00DB185D"/>
    <w:rsid w:val="00DB2A70"/>
    <w:rsid w:val="00DB3F70"/>
    <w:rsid w:val="00DB47EB"/>
    <w:rsid w:val="00DB4DCC"/>
    <w:rsid w:val="00DC2623"/>
    <w:rsid w:val="00DC4192"/>
    <w:rsid w:val="00DC53B7"/>
    <w:rsid w:val="00DC63B7"/>
    <w:rsid w:val="00DD1875"/>
    <w:rsid w:val="00DD2859"/>
    <w:rsid w:val="00DD46E2"/>
    <w:rsid w:val="00DD5334"/>
    <w:rsid w:val="00DD7E27"/>
    <w:rsid w:val="00DE0A7D"/>
    <w:rsid w:val="00DE15DD"/>
    <w:rsid w:val="00DE1E24"/>
    <w:rsid w:val="00DE473B"/>
    <w:rsid w:val="00DE4FA6"/>
    <w:rsid w:val="00DE61C4"/>
    <w:rsid w:val="00DE6700"/>
    <w:rsid w:val="00DE69D6"/>
    <w:rsid w:val="00DF2149"/>
    <w:rsid w:val="00DF605E"/>
    <w:rsid w:val="00DF648D"/>
    <w:rsid w:val="00DF7339"/>
    <w:rsid w:val="00E02A53"/>
    <w:rsid w:val="00E02FDE"/>
    <w:rsid w:val="00E041B6"/>
    <w:rsid w:val="00E0451D"/>
    <w:rsid w:val="00E04F36"/>
    <w:rsid w:val="00E104A5"/>
    <w:rsid w:val="00E111C4"/>
    <w:rsid w:val="00E11908"/>
    <w:rsid w:val="00E123DA"/>
    <w:rsid w:val="00E1290B"/>
    <w:rsid w:val="00E13C19"/>
    <w:rsid w:val="00E15AD8"/>
    <w:rsid w:val="00E16AF0"/>
    <w:rsid w:val="00E16ECF"/>
    <w:rsid w:val="00E176BE"/>
    <w:rsid w:val="00E177E1"/>
    <w:rsid w:val="00E22CAF"/>
    <w:rsid w:val="00E2318A"/>
    <w:rsid w:val="00E2642A"/>
    <w:rsid w:val="00E303D5"/>
    <w:rsid w:val="00E30605"/>
    <w:rsid w:val="00E33BEA"/>
    <w:rsid w:val="00E340CD"/>
    <w:rsid w:val="00E35C72"/>
    <w:rsid w:val="00E41088"/>
    <w:rsid w:val="00E41777"/>
    <w:rsid w:val="00E440DE"/>
    <w:rsid w:val="00E44F63"/>
    <w:rsid w:val="00E45B92"/>
    <w:rsid w:val="00E508B0"/>
    <w:rsid w:val="00E51415"/>
    <w:rsid w:val="00E531FF"/>
    <w:rsid w:val="00E549E6"/>
    <w:rsid w:val="00E55381"/>
    <w:rsid w:val="00E55AB0"/>
    <w:rsid w:val="00E55B60"/>
    <w:rsid w:val="00E5658E"/>
    <w:rsid w:val="00E576AD"/>
    <w:rsid w:val="00E60F2B"/>
    <w:rsid w:val="00E61243"/>
    <w:rsid w:val="00E62C3F"/>
    <w:rsid w:val="00E64766"/>
    <w:rsid w:val="00E66464"/>
    <w:rsid w:val="00E67A9F"/>
    <w:rsid w:val="00E716E0"/>
    <w:rsid w:val="00E71DEE"/>
    <w:rsid w:val="00E732F4"/>
    <w:rsid w:val="00E74B42"/>
    <w:rsid w:val="00E74FD0"/>
    <w:rsid w:val="00E76512"/>
    <w:rsid w:val="00E769A0"/>
    <w:rsid w:val="00E80470"/>
    <w:rsid w:val="00E80C09"/>
    <w:rsid w:val="00E82068"/>
    <w:rsid w:val="00E84214"/>
    <w:rsid w:val="00E842EC"/>
    <w:rsid w:val="00E85E4F"/>
    <w:rsid w:val="00E85F19"/>
    <w:rsid w:val="00E86360"/>
    <w:rsid w:val="00E916F9"/>
    <w:rsid w:val="00E94C7C"/>
    <w:rsid w:val="00E95CD0"/>
    <w:rsid w:val="00E96543"/>
    <w:rsid w:val="00E97413"/>
    <w:rsid w:val="00EA0262"/>
    <w:rsid w:val="00EA19AD"/>
    <w:rsid w:val="00EA1F13"/>
    <w:rsid w:val="00EA4DF1"/>
    <w:rsid w:val="00EA56C4"/>
    <w:rsid w:val="00EB2415"/>
    <w:rsid w:val="00EB3282"/>
    <w:rsid w:val="00EB3612"/>
    <w:rsid w:val="00EB3FE1"/>
    <w:rsid w:val="00EB56CE"/>
    <w:rsid w:val="00EB607B"/>
    <w:rsid w:val="00EB636A"/>
    <w:rsid w:val="00EB6922"/>
    <w:rsid w:val="00EB6B2F"/>
    <w:rsid w:val="00EB6C1E"/>
    <w:rsid w:val="00EB70B5"/>
    <w:rsid w:val="00EB7149"/>
    <w:rsid w:val="00EC18D6"/>
    <w:rsid w:val="00EC1F1D"/>
    <w:rsid w:val="00EC428C"/>
    <w:rsid w:val="00EC4562"/>
    <w:rsid w:val="00ED2BCA"/>
    <w:rsid w:val="00ED353D"/>
    <w:rsid w:val="00ED432C"/>
    <w:rsid w:val="00ED5EE1"/>
    <w:rsid w:val="00ED7649"/>
    <w:rsid w:val="00EE1494"/>
    <w:rsid w:val="00EE29C7"/>
    <w:rsid w:val="00EE342A"/>
    <w:rsid w:val="00EE4528"/>
    <w:rsid w:val="00EE497C"/>
    <w:rsid w:val="00EE6676"/>
    <w:rsid w:val="00EE7EC6"/>
    <w:rsid w:val="00EF36A7"/>
    <w:rsid w:val="00EF3EE6"/>
    <w:rsid w:val="00EF52C4"/>
    <w:rsid w:val="00EF60B2"/>
    <w:rsid w:val="00EF61B8"/>
    <w:rsid w:val="00EF6290"/>
    <w:rsid w:val="00EF6C37"/>
    <w:rsid w:val="00EF6F89"/>
    <w:rsid w:val="00F02991"/>
    <w:rsid w:val="00F0321D"/>
    <w:rsid w:val="00F03AAE"/>
    <w:rsid w:val="00F06B6E"/>
    <w:rsid w:val="00F06CF0"/>
    <w:rsid w:val="00F101D0"/>
    <w:rsid w:val="00F12A9F"/>
    <w:rsid w:val="00F15081"/>
    <w:rsid w:val="00F163B7"/>
    <w:rsid w:val="00F17137"/>
    <w:rsid w:val="00F17681"/>
    <w:rsid w:val="00F21E1F"/>
    <w:rsid w:val="00F22B4A"/>
    <w:rsid w:val="00F2568E"/>
    <w:rsid w:val="00F30C15"/>
    <w:rsid w:val="00F332F5"/>
    <w:rsid w:val="00F33A27"/>
    <w:rsid w:val="00F33FD7"/>
    <w:rsid w:val="00F34252"/>
    <w:rsid w:val="00F345EE"/>
    <w:rsid w:val="00F34B56"/>
    <w:rsid w:val="00F3534F"/>
    <w:rsid w:val="00F36DA2"/>
    <w:rsid w:val="00F3779D"/>
    <w:rsid w:val="00F40948"/>
    <w:rsid w:val="00F4157E"/>
    <w:rsid w:val="00F42347"/>
    <w:rsid w:val="00F446CA"/>
    <w:rsid w:val="00F44D63"/>
    <w:rsid w:val="00F45F3F"/>
    <w:rsid w:val="00F47F0F"/>
    <w:rsid w:val="00F5018C"/>
    <w:rsid w:val="00F5026C"/>
    <w:rsid w:val="00F50675"/>
    <w:rsid w:val="00F57003"/>
    <w:rsid w:val="00F60F8E"/>
    <w:rsid w:val="00F62159"/>
    <w:rsid w:val="00F6293C"/>
    <w:rsid w:val="00F66300"/>
    <w:rsid w:val="00F673F5"/>
    <w:rsid w:val="00F76918"/>
    <w:rsid w:val="00F836EE"/>
    <w:rsid w:val="00F87290"/>
    <w:rsid w:val="00F87E4F"/>
    <w:rsid w:val="00F91045"/>
    <w:rsid w:val="00F923C1"/>
    <w:rsid w:val="00F9305C"/>
    <w:rsid w:val="00FA02E0"/>
    <w:rsid w:val="00FA2AA8"/>
    <w:rsid w:val="00FB05B7"/>
    <w:rsid w:val="00FB121C"/>
    <w:rsid w:val="00FB68F7"/>
    <w:rsid w:val="00FB74C7"/>
    <w:rsid w:val="00FC01F1"/>
    <w:rsid w:val="00FC2D36"/>
    <w:rsid w:val="00FC31F4"/>
    <w:rsid w:val="00FC3C0C"/>
    <w:rsid w:val="00FC4320"/>
    <w:rsid w:val="00FC6191"/>
    <w:rsid w:val="00FC6C12"/>
    <w:rsid w:val="00FD04E9"/>
    <w:rsid w:val="00FD0BBD"/>
    <w:rsid w:val="00FD13E8"/>
    <w:rsid w:val="00FD2128"/>
    <w:rsid w:val="00FD3574"/>
    <w:rsid w:val="00FD3C5C"/>
    <w:rsid w:val="00FD3E22"/>
    <w:rsid w:val="00FD4296"/>
    <w:rsid w:val="00FD6AFF"/>
    <w:rsid w:val="00FE0C72"/>
    <w:rsid w:val="00FE4299"/>
    <w:rsid w:val="00FE4463"/>
    <w:rsid w:val="00FE4BC9"/>
    <w:rsid w:val="00FE4C3B"/>
    <w:rsid w:val="00FE5B71"/>
    <w:rsid w:val="00FE60C1"/>
    <w:rsid w:val="00FF042C"/>
    <w:rsid w:val="00FF06B2"/>
    <w:rsid w:val="00FF0EF8"/>
    <w:rsid w:val="00FF1B86"/>
    <w:rsid w:val="00FF2471"/>
    <w:rsid w:val="00FF76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A743C"/>
  <w14:defaultImageDpi w14:val="96"/>
  <w15:chartTrackingRefBased/>
  <w15:docId w15:val="{E468C4A2-01F5-4A13-A25D-8D0E2D56D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C6A0F"/>
    <w:pPr>
      <w:spacing w:before="100" w:beforeAutospacing="1" w:after="100" w:afterAutospacing="1" w:line="240" w:lineRule="auto"/>
      <w:outlineLvl w:val="0"/>
    </w:pPr>
    <w:rPr>
      <w:rFonts w:ascii="Times New Roman" w:eastAsia="Times New Roman" w:hAnsi="Times New Roman" w:cs="Times New Roman"/>
      <w:b/>
      <w:bCs/>
      <w:kern w:val="36"/>
      <w:sz w:val="48"/>
      <w:szCs w:val="48"/>
      <w:lang w:val="es-CO" w:eastAsia="es-CO"/>
    </w:rPr>
  </w:style>
  <w:style w:type="paragraph" w:styleId="Ttulo3">
    <w:name w:val="heading 3"/>
    <w:basedOn w:val="Normal"/>
    <w:next w:val="Normal"/>
    <w:link w:val="Ttulo3Car"/>
    <w:uiPriority w:val="9"/>
    <w:semiHidden/>
    <w:unhideWhenUsed/>
    <w:qFormat/>
    <w:rsid w:val="00F60F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F660B"/>
    <w:rPr>
      <w:color w:val="0563C1" w:themeColor="hyperlink"/>
      <w:u w:val="single"/>
    </w:rPr>
  </w:style>
  <w:style w:type="paragraph" w:styleId="Prrafodelista">
    <w:name w:val="List Paragraph"/>
    <w:basedOn w:val="Normal"/>
    <w:uiPriority w:val="34"/>
    <w:qFormat/>
    <w:rsid w:val="00102BEA"/>
    <w:pPr>
      <w:ind w:left="720"/>
      <w:contextualSpacing/>
    </w:pPr>
  </w:style>
  <w:style w:type="paragraph" w:styleId="Descripcin">
    <w:name w:val="caption"/>
    <w:basedOn w:val="Normal"/>
    <w:next w:val="Normal"/>
    <w:uiPriority w:val="35"/>
    <w:unhideWhenUsed/>
    <w:qFormat/>
    <w:rsid w:val="00286E02"/>
    <w:pPr>
      <w:spacing w:after="200" w:line="240" w:lineRule="auto"/>
    </w:pPr>
    <w:rPr>
      <w:rFonts w:ascii="Arial" w:hAnsi="Arial"/>
      <w:b/>
      <w:iCs/>
      <w:sz w:val="20"/>
      <w:szCs w:val="18"/>
    </w:rPr>
  </w:style>
  <w:style w:type="paragraph" w:styleId="Textonotapie">
    <w:name w:val="footnote text"/>
    <w:basedOn w:val="Normal"/>
    <w:link w:val="TextonotapieCar"/>
    <w:uiPriority w:val="99"/>
    <w:unhideWhenUsed/>
    <w:rsid w:val="00286E02"/>
    <w:pPr>
      <w:spacing w:after="0" w:line="240" w:lineRule="auto"/>
    </w:pPr>
    <w:rPr>
      <w:sz w:val="20"/>
      <w:szCs w:val="20"/>
    </w:rPr>
  </w:style>
  <w:style w:type="character" w:customStyle="1" w:styleId="TextonotapieCar">
    <w:name w:val="Texto nota pie Car"/>
    <w:basedOn w:val="Fuentedeprrafopredeter"/>
    <w:link w:val="Textonotapie"/>
    <w:uiPriority w:val="99"/>
    <w:rsid w:val="00286E02"/>
    <w:rPr>
      <w:sz w:val="20"/>
      <w:szCs w:val="20"/>
    </w:rPr>
  </w:style>
  <w:style w:type="character" w:styleId="Refdenotaalpie">
    <w:name w:val="footnote reference"/>
    <w:basedOn w:val="Fuentedeprrafopredeter"/>
    <w:uiPriority w:val="99"/>
    <w:semiHidden/>
    <w:unhideWhenUsed/>
    <w:rsid w:val="00286E02"/>
    <w:rPr>
      <w:vertAlign w:val="superscript"/>
    </w:rPr>
  </w:style>
  <w:style w:type="table" w:styleId="Tablaconcuadrcula">
    <w:name w:val="Table Grid"/>
    <w:basedOn w:val="Tablanormal"/>
    <w:uiPriority w:val="39"/>
    <w:rsid w:val="00880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649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6493C"/>
  </w:style>
  <w:style w:type="paragraph" w:styleId="Piedepgina">
    <w:name w:val="footer"/>
    <w:basedOn w:val="Normal"/>
    <w:link w:val="PiedepginaCar"/>
    <w:uiPriority w:val="99"/>
    <w:unhideWhenUsed/>
    <w:rsid w:val="001649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6493C"/>
  </w:style>
  <w:style w:type="table" w:styleId="Tablanormal2">
    <w:name w:val="Plain Table 2"/>
    <w:basedOn w:val="Tablanormal"/>
    <w:uiPriority w:val="42"/>
    <w:rsid w:val="00AB39A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cinsinresolver">
    <w:name w:val="Unresolved Mention"/>
    <w:basedOn w:val="Fuentedeprrafopredeter"/>
    <w:uiPriority w:val="99"/>
    <w:semiHidden/>
    <w:unhideWhenUsed/>
    <w:rsid w:val="002032DE"/>
    <w:rPr>
      <w:color w:val="605E5C"/>
      <w:shd w:val="clear" w:color="auto" w:fill="E1DFDD"/>
    </w:rPr>
  </w:style>
  <w:style w:type="character" w:customStyle="1" w:styleId="Ttulo1Car">
    <w:name w:val="Título 1 Car"/>
    <w:basedOn w:val="Fuentedeprrafopredeter"/>
    <w:link w:val="Ttulo1"/>
    <w:uiPriority w:val="9"/>
    <w:rsid w:val="002C6A0F"/>
    <w:rPr>
      <w:rFonts w:ascii="Times New Roman" w:eastAsia="Times New Roman" w:hAnsi="Times New Roman" w:cs="Times New Roman"/>
      <w:b/>
      <w:bCs/>
      <w:kern w:val="36"/>
      <w:sz w:val="48"/>
      <w:szCs w:val="48"/>
      <w:lang w:val="es-CO" w:eastAsia="es-CO"/>
    </w:rPr>
  </w:style>
  <w:style w:type="character" w:customStyle="1" w:styleId="article-date">
    <w:name w:val="article-date"/>
    <w:basedOn w:val="Fuentedeprrafopredeter"/>
    <w:rsid w:val="002C6A0F"/>
  </w:style>
  <w:style w:type="character" w:customStyle="1" w:styleId="margin-right-xs">
    <w:name w:val="margin-right-xs"/>
    <w:basedOn w:val="Fuentedeprrafopredeter"/>
    <w:rsid w:val="002C6A0F"/>
  </w:style>
  <w:style w:type="character" w:customStyle="1" w:styleId="cover-attribution">
    <w:name w:val="cover-attribution"/>
    <w:basedOn w:val="Fuentedeprrafopredeter"/>
    <w:rsid w:val="002C6A0F"/>
  </w:style>
  <w:style w:type="table" w:customStyle="1" w:styleId="Cuadrculaclara1">
    <w:name w:val="Cuadrícula clara1"/>
    <w:basedOn w:val="Tablanormal"/>
    <w:next w:val="Cuadrculaclara"/>
    <w:uiPriority w:val="62"/>
    <w:rsid w:val="00D30D37"/>
    <w:pPr>
      <w:spacing w:after="0" w:line="240" w:lineRule="auto"/>
    </w:pPr>
    <w:rPr>
      <w:rFonts w:eastAsia="MS Mincho"/>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semiHidden/>
    <w:unhideWhenUsed/>
    <w:rsid w:val="00D30D3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NormalWeb">
    <w:name w:val="Normal (Web)"/>
    <w:basedOn w:val="Normal"/>
    <w:uiPriority w:val="99"/>
    <w:semiHidden/>
    <w:unhideWhenUsed/>
    <w:rsid w:val="00C67FDC"/>
    <w:rPr>
      <w:rFonts w:ascii="Times New Roman" w:hAnsi="Times New Roman" w:cs="Times New Roman"/>
      <w:sz w:val="24"/>
      <w:szCs w:val="24"/>
    </w:rPr>
  </w:style>
  <w:style w:type="character" w:customStyle="1" w:styleId="Ttulo3Car">
    <w:name w:val="Título 3 Car"/>
    <w:basedOn w:val="Fuentedeprrafopredeter"/>
    <w:link w:val="Ttulo3"/>
    <w:uiPriority w:val="9"/>
    <w:semiHidden/>
    <w:rsid w:val="00F60F8E"/>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C834FA"/>
    <w:pPr>
      <w:spacing w:after="0" w:line="240" w:lineRule="auto"/>
    </w:pPr>
  </w:style>
  <w:style w:type="character" w:styleId="nfasis">
    <w:name w:val="Emphasis"/>
    <w:basedOn w:val="Fuentedeprrafopredeter"/>
    <w:uiPriority w:val="20"/>
    <w:qFormat/>
    <w:rsid w:val="002F12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8685">
      <w:bodyDiv w:val="1"/>
      <w:marLeft w:val="0"/>
      <w:marRight w:val="0"/>
      <w:marTop w:val="0"/>
      <w:marBottom w:val="0"/>
      <w:divBdr>
        <w:top w:val="none" w:sz="0" w:space="0" w:color="auto"/>
        <w:left w:val="none" w:sz="0" w:space="0" w:color="auto"/>
        <w:bottom w:val="none" w:sz="0" w:space="0" w:color="auto"/>
        <w:right w:val="none" w:sz="0" w:space="0" w:color="auto"/>
      </w:divBdr>
    </w:div>
    <w:div w:id="110824411">
      <w:bodyDiv w:val="1"/>
      <w:marLeft w:val="0"/>
      <w:marRight w:val="0"/>
      <w:marTop w:val="0"/>
      <w:marBottom w:val="0"/>
      <w:divBdr>
        <w:top w:val="none" w:sz="0" w:space="0" w:color="auto"/>
        <w:left w:val="none" w:sz="0" w:space="0" w:color="auto"/>
        <w:bottom w:val="none" w:sz="0" w:space="0" w:color="auto"/>
        <w:right w:val="none" w:sz="0" w:space="0" w:color="auto"/>
      </w:divBdr>
      <w:divsChild>
        <w:div w:id="962463534">
          <w:marLeft w:val="360"/>
          <w:marRight w:val="0"/>
          <w:marTop w:val="0"/>
          <w:marBottom w:val="0"/>
          <w:divBdr>
            <w:top w:val="none" w:sz="0" w:space="0" w:color="auto"/>
            <w:left w:val="none" w:sz="0" w:space="0" w:color="auto"/>
            <w:bottom w:val="none" w:sz="0" w:space="0" w:color="auto"/>
            <w:right w:val="none" w:sz="0" w:space="0" w:color="auto"/>
          </w:divBdr>
        </w:div>
      </w:divsChild>
    </w:div>
    <w:div w:id="200364768">
      <w:bodyDiv w:val="1"/>
      <w:marLeft w:val="0"/>
      <w:marRight w:val="0"/>
      <w:marTop w:val="0"/>
      <w:marBottom w:val="0"/>
      <w:divBdr>
        <w:top w:val="none" w:sz="0" w:space="0" w:color="auto"/>
        <w:left w:val="none" w:sz="0" w:space="0" w:color="auto"/>
        <w:bottom w:val="none" w:sz="0" w:space="0" w:color="auto"/>
        <w:right w:val="none" w:sz="0" w:space="0" w:color="auto"/>
      </w:divBdr>
    </w:div>
    <w:div w:id="220603830">
      <w:bodyDiv w:val="1"/>
      <w:marLeft w:val="0"/>
      <w:marRight w:val="0"/>
      <w:marTop w:val="0"/>
      <w:marBottom w:val="0"/>
      <w:divBdr>
        <w:top w:val="none" w:sz="0" w:space="0" w:color="auto"/>
        <w:left w:val="none" w:sz="0" w:space="0" w:color="auto"/>
        <w:bottom w:val="none" w:sz="0" w:space="0" w:color="auto"/>
        <w:right w:val="none" w:sz="0" w:space="0" w:color="auto"/>
      </w:divBdr>
      <w:divsChild>
        <w:div w:id="1101610321">
          <w:marLeft w:val="720"/>
          <w:marRight w:val="0"/>
          <w:marTop w:val="200"/>
          <w:marBottom w:val="0"/>
          <w:divBdr>
            <w:top w:val="none" w:sz="0" w:space="0" w:color="auto"/>
            <w:left w:val="none" w:sz="0" w:space="0" w:color="auto"/>
            <w:bottom w:val="none" w:sz="0" w:space="0" w:color="auto"/>
            <w:right w:val="none" w:sz="0" w:space="0" w:color="auto"/>
          </w:divBdr>
        </w:div>
        <w:div w:id="1791391622">
          <w:marLeft w:val="720"/>
          <w:marRight w:val="0"/>
          <w:marTop w:val="200"/>
          <w:marBottom w:val="0"/>
          <w:divBdr>
            <w:top w:val="none" w:sz="0" w:space="0" w:color="auto"/>
            <w:left w:val="none" w:sz="0" w:space="0" w:color="auto"/>
            <w:bottom w:val="none" w:sz="0" w:space="0" w:color="auto"/>
            <w:right w:val="none" w:sz="0" w:space="0" w:color="auto"/>
          </w:divBdr>
        </w:div>
      </w:divsChild>
    </w:div>
    <w:div w:id="271323544">
      <w:bodyDiv w:val="1"/>
      <w:marLeft w:val="0"/>
      <w:marRight w:val="0"/>
      <w:marTop w:val="0"/>
      <w:marBottom w:val="0"/>
      <w:divBdr>
        <w:top w:val="none" w:sz="0" w:space="0" w:color="auto"/>
        <w:left w:val="none" w:sz="0" w:space="0" w:color="auto"/>
        <w:bottom w:val="none" w:sz="0" w:space="0" w:color="auto"/>
        <w:right w:val="none" w:sz="0" w:space="0" w:color="auto"/>
      </w:divBdr>
      <w:divsChild>
        <w:div w:id="394935908">
          <w:marLeft w:val="720"/>
          <w:marRight w:val="0"/>
          <w:marTop w:val="200"/>
          <w:marBottom w:val="0"/>
          <w:divBdr>
            <w:top w:val="none" w:sz="0" w:space="0" w:color="auto"/>
            <w:left w:val="none" w:sz="0" w:space="0" w:color="auto"/>
            <w:bottom w:val="none" w:sz="0" w:space="0" w:color="auto"/>
            <w:right w:val="none" w:sz="0" w:space="0" w:color="auto"/>
          </w:divBdr>
        </w:div>
      </w:divsChild>
    </w:div>
    <w:div w:id="341054781">
      <w:bodyDiv w:val="1"/>
      <w:marLeft w:val="0"/>
      <w:marRight w:val="0"/>
      <w:marTop w:val="0"/>
      <w:marBottom w:val="0"/>
      <w:divBdr>
        <w:top w:val="none" w:sz="0" w:space="0" w:color="auto"/>
        <w:left w:val="none" w:sz="0" w:space="0" w:color="auto"/>
        <w:bottom w:val="none" w:sz="0" w:space="0" w:color="auto"/>
        <w:right w:val="none" w:sz="0" w:space="0" w:color="auto"/>
      </w:divBdr>
    </w:div>
    <w:div w:id="352533240">
      <w:bodyDiv w:val="1"/>
      <w:marLeft w:val="0"/>
      <w:marRight w:val="0"/>
      <w:marTop w:val="0"/>
      <w:marBottom w:val="0"/>
      <w:divBdr>
        <w:top w:val="none" w:sz="0" w:space="0" w:color="auto"/>
        <w:left w:val="none" w:sz="0" w:space="0" w:color="auto"/>
        <w:bottom w:val="none" w:sz="0" w:space="0" w:color="auto"/>
        <w:right w:val="none" w:sz="0" w:space="0" w:color="auto"/>
      </w:divBdr>
    </w:div>
    <w:div w:id="459299851">
      <w:bodyDiv w:val="1"/>
      <w:marLeft w:val="0"/>
      <w:marRight w:val="0"/>
      <w:marTop w:val="0"/>
      <w:marBottom w:val="0"/>
      <w:divBdr>
        <w:top w:val="none" w:sz="0" w:space="0" w:color="auto"/>
        <w:left w:val="none" w:sz="0" w:space="0" w:color="auto"/>
        <w:bottom w:val="none" w:sz="0" w:space="0" w:color="auto"/>
        <w:right w:val="none" w:sz="0" w:space="0" w:color="auto"/>
      </w:divBdr>
      <w:divsChild>
        <w:div w:id="1284262909">
          <w:marLeft w:val="720"/>
          <w:marRight w:val="0"/>
          <w:marTop w:val="200"/>
          <w:marBottom w:val="0"/>
          <w:divBdr>
            <w:top w:val="none" w:sz="0" w:space="0" w:color="auto"/>
            <w:left w:val="none" w:sz="0" w:space="0" w:color="auto"/>
            <w:bottom w:val="none" w:sz="0" w:space="0" w:color="auto"/>
            <w:right w:val="none" w:sz="0" w:space="0" w:color="auto"/>
          </w:divBdr>
        </w:div>
        <w:div w:id="848985314">
          <w:marLeft w:val="720"/>
          <w:marRight w:val="0"/>
          <w:marTop w:val="200"/>
          <w:marBottom w:val="0"/>
          <w:divBdr>
            <w:top w:val="none" w:sz="0" w:space="0" w:color="auto"/>
            <w:left w:val="none" w:sz="0" w:space="0" w:color="auto"/>
            <w:bottom w:val="none" w:sz="0" w:space="0" w:color="auto"/>
            <w:right w:val="none" w:sz="0" w:space="0" w:color="auto"/>
          </w:divBdr>
        </w:div>
      </w:divsChild>
    </w:div>
    <w:div w:id="512113231">
      <w:bodyDiv w:val="1"/>
      <w:marLeft w:val="0"/>
      <w:marRight w:val="0"/>
      <w:marTop w:val="0"/>
      <w:marBottom w:val="0"/>
      <w:divBdr>
        <w:top w:val="none" w:sz="0" w:space="0" w:color="auto"/>
        <w:left w:val="none" w:sz="0" w:space="0" w:color="auto"/>
        <w:bottom w:val="none" w:sz="0" w:space="0" w:color="auto"/>
        <w:right w:val="none" w:sz="0" w:space="0" w:color="auto"/>
      </w:divBdr>
      <w:divsChild>
        <w:div w:id="1739204928">
          <w:marLeft w:val="720"/>
          <w:marRight w:val="0"/>
          <w:marTop w:val="200"/>
          <w:marBottom w:val="0"/>
          <w:divBdr>
            <w:top w:val="none" w:sz="0" w:space="0" w:color="auto"/>
            <w:left w:val="none" w:sz="0" w:space="0" w:color="auto"/>
            <w:bottom w:val="none" w:sz="0" w:space="0" w:color="auto"/>
            <w:right w:val="none" w:sz="0" w:space="0" w:color="auto"/>
          </w:divBdr>
        </w:div>
      </w:divsChild>
    </w:div>
    <w:div w:id="617681750">
      <w:bodyDiv w:val="1"/>
      <w:marLeft w:val="0"/>
      <w:marRight w:val="0"/>
      <w:marTop w:val="0"/>
      <w:marBottom w:val="0"/>
      <w:divBdr>
        <w:top w:val="none" w:sz="0" w:space="0" w:color="auto"/>
        <w:left w:val="none" w:sz="0" w:space="0" w:color="auto"/>
        <w:bottom w:val="none" w:sz="0" w:space="0" w:color="auto"/>
        <w:right w:val="none" w:sz="0" w:space="0" w:color="auto"/>
      </w:divBdr>
      <w:divsChild>
        <w:div w:id="1405906541">
          <w:marLeft w:val="706"/>
          <w:marRight w:val="0"/>
          <w:marTop w:val="0"/>
          <w:marBottom w:val="0"/>
          <w:divBdr>
            <w:top w:val="none" w:sz="0" w:space="0" w:color="auto"/>
            <w:left w:val="none" w:sz="0" w:space="0" w:color="auto"/>
            <w:bottom w:val="none" w:sz="0" w:space="0" w:color="auto"/>
            <w:right w:val="none" w:sz="0" w:space="0" w:color="auto"/>
          </w:divBdr>
        </w:div>
        <w:div w:id="1053429068">
          <w:marLeft w:val="360"/>
          <w:marRight w:val="0"/>
          <w:marTop w:val="200"/>
          <w:marBottom w:val="0"/>
          <w:divBdr>
            <w:top w:val="none" w:sz="0" w:space="0" w:color="auto"/>
            <w:left w:val="none" w:sz="0" w:space="0" w:color="auto"/>
            <w:bottom w:val="none" w:sz="0" w:space="0" w:color="auto"/>
            <w:right w:val="none" w:sz="0" w:space="0" w:color="auto"/>
          </w:divBdr>
        </w:div>
        <w:div w:id="1221290156">
          <w:marLeft w:val="360"/>
          <w:marRight w:val="0"/>
          <w:marTop w:val="200"/>
          <w:marBottom w:val="0"/>
          <w:divBdr>
            <w:top w:val="none" w:sz="0" w:space="0" w:color="auto"/>
            <w:left w:val="none" w:sz="0" w:space="0" w:color="auto"/>
            <w:bottom w:val="none" w:sz="0" w:space="0" w:color="auto"/>
            <w:right w:val="none" w:sz="0" w:space="0" w:color="auto"/>
          </w:divBdr>
        </w:div>
      </w:divsChild>
    </w:div>
    <w:div w:id="627442676">
      <w:bodyDiv w:val="1"/>
      <w:marLeft w:val="0"/>
      <w:marRight w:val="0"/>
      <w:marTop w:val="0"/>
      <w:marBottom w:val="0"/>
      <w:divBdr>
        <w:top w:val="none" w:sz="0" w:space="0" w:color="auto"/>
        <w:left w:val="none" w:sz="0" w:space="0" w:color="auto"/>
        <w:bottom w:val="none" w:sz="0" w:space="0" w:color="auto"/>
        <w:right w:val="none" w:sz="0" w:space="0" w:color="auto"/>
      </w:divBdr>
      <w:divsChild>
        <w:div w:id="2018344858">
          <w:marLeft w:val="720"/>
          <w:marRight w:val="0"/>
          <w:marTop w:val="200"/>
          <w:marBottom w:val="0"/>
          <w:divBdr>
            <w:top w:val="none" w:sz="0" w:space="0" w:color="auto"/>
            <w:left w:val="none" w:sz="0" w:space="0" w:color="auto"/>
            <w:bottom w:val="none" w:sz="0" w:space="0" w:color="auto"/>
            <w:right w:val="none" w:sz="0" w:space="0" w:color="auto"/>
          </w:divBdr>
        </w:div>
        <w:div w:id="457145437">
          <w:marLeft w:val="720"/>
          <w:marRight w:val="0"/>
          <w:marTop w:val="200"/>
          <w:marBottom w:val="0"/>
          <w:divBdr>
            <w:top w:val="none" w:sz="0" w:space="0" w:color="auto"/>
            <w:left w:val="none" w:sz="0" w:space="0" w:color="auto"/>
            <w:bottom w:val="none" w:sz="0" w:space="0" w:color="auto"/>
            <w:right w:val="none" w:sz="0" w:space="0" w:color="auto"/>
          </w:divBdr>
        </w:div>
        <w:div w:id="1141341130">
          <w:marLeft w:val="720"/>
          <w:marRight w:val="0"/>
          <w:marTop w:val="200"/>
          <w:marBottom w:val="0"/>
          <w:divBdr>
            <w:top w:val="none" w:sz="0" w:space="0" w:color="auto"/>
            <w:left w:val="none" w:sz="0" w:space="0" w:color="auto"/>
            <w:bottom w:val="none" w:sz="0" w:space="0" w:color="auto"/>
            <w:right w:val="none" w:sz="0" w:space="0" w:color="auto"/>
          </w:divBdr>
        </w:div>
      </w:divsChild>
    </w:div>
    <w:div w:id="631593726">
      <w:bodyDiv w:val="1"/>
      <w:marLeft w:val="0"/>
      <w:marRight w:val="0"/>
      <w:marTop w:val="0"/>
      <w:marBottom w:val="0"/>
      <w:divBdr>
        <w:top w:val="none" w:sz="0" w:space="0" w:color="auto"/>
        <w:left w:val="none" w:sz="0" w:space="0" w:color="auto"/>
        <w:bottom w:val="none" w:sz="0" w:space="0" w:color="auto"/>
        <w:right w:val="none" w:sz="0" w:space="0" w:color="auto"/>
      </w:divBdr>
      <w:divsChild>
        <w:div w:id="1460342098">
          <w:marLeft w:val="0"/>
          <w:marRight w:val="0"/>
          <w:marTop w:val="0"/>
          <w:marBottom w:val="0"/>
          <w:divBdr>
            <w:top w:val="none" w:sz="0" w:space="0" w:color="auto"/>
            <w:left w:val="none" w:sz="0" w:space="0" w:color="auto"/>
            <w:bottom w:val="none" w:sz="0" w:space="0" w:color="auto"/>
            <w:right w:val="none" w:sz="0" w:space="0" w:color="auto"/>
          </w:divBdr>
        </w:div>
        <w:div w:id="2098288750">
          <w:marLeft w:val="0"/>
          <w:marRight w:val="0"/>
          <w:marTop w:val="0"/>
          <w:marBottom w:val="0"/>
          <w:divBdr>
            <w:top w:val="none" w:sz="0" w:space="0" w:color="auto"/>
            <w:left w:val="none" w:sz="0" w:space="0" w:color="auto"/>
            <w:bottom w:val="single" w:sz="36" w:space="31" w:color="1A1919"/>
            <w:right w:val="none" w:sz="0" w:space="0" w:color="auto"/>
          </w:divBdr>
        </w:div>
      </w:divsChild>
    </w:div>
    <w:div w:id="668336907">
      <w:bodyDiv w:val="1"/>
      <w:marLeft w:val="0"/>
      <w:marRight w:val="0"/>
      <w:marTop w:val="0"/>
      <w:marBottom w:val="0"/>
      <w:divBdr>
        <w:top w:val="none" w:sz="0" w:space="0" w:color="auto"/>
        <w:left w:val="none" w:sz="0" w:space="0" w:color="auto"/>
        <w:bottom w:val="none" w:sz="0" w:space="0" w:color="auto"/>
        <w:right w:val="none" w:sz="0" w:space="0" w:color="auto"/>
      </w:divBdr>
      <w:divsChild>
        <w:div w:id="1426684640">
          <w:marLeft w:val="360"/>
          <w:marRight w:val="0"/>
          <w:marTop w:val="0"/>
          <w:marBottom w:val="0"/>
          <w:divBdr>
            <w:top w:val="none" w:sz="0" w:space="0" w:color="auto"/>
            <w:left w:val="none" w:sz="0" w:space="0" w:color="auto"/>
            <w:bottom w:val="none" w:sz="0" w:space="0" w:color="auto"/>
            <w:right w:val="none" w:sz="0" w:space="0" w:color="auto"/>
          </w:divBdr>
        </w:div>
        <w:div w:id="1731029861">
          <w:marLeft w:val="360"/>
          <w:marRight w:val="0"/>
          <w:marTop w:val="200"/>
          <w:marBottom w:val="0"/>
          <w:divBdr>
            <w:top w:val="none" w:sz="0" w:space="0" w:color="auto"/>
            <w:left w:val="none" w:sz="0" w:space="0" w:color="auto"/>
            <w:bottom w:val="none" w:sz="0" w:space="0" w:color="auto"/>
            <w:right w:val="none" w:sz="0" w:space="0" w:color="auto"/>
          </w:divBdr>
        </w:div>
      </w:divsChild>
    </w:div>
    <w:div w:id="769130979">
      <w:bodyDiv w:val="1"/>
      <w:marLeft w:val="0"/>
      <w:marRight w:val="0"/>
      <w:marTop w:val="0"/>
      <w:marBottom w:val="0"/>
      <w:divBdr>
        <w:top w:val="none" w:sz="0" w:space="0" w:color="auto"/>
        <w:left w:val="none" w:sz="0" w:space="0" w:color="auto"/>
        <w:bottom w:val="none" w:sz="0" w:space="0" w:color="auto"/>
        <w:right w:val="none" w:sz="0" w:space="0" w:color="auto"/>
      </w:divBdr>
      <w:divsChild>
        <w:div w:id="891961634">
          <w:marLeft w:val="720"/>
          <w:marRight w:val="0"/>
          <w:marTop w:val="200"/>
          <w:marBottom w:val="0"/>
          <w:divBdr>
            <w:top w:val="none" w:sz="0" w:space="0" w:color="auto"/>
            <w:left w:val="none" w:sz="0" w:space="0" w:color="auto"/>
            <w:bottom w:val="none" w:sz="0" w:space="0" w:color="auto"/>
            <w:right w:val="none" w:sz="0" w:space="0" w:color="auto"/>
          </w:divBdr>
        </w:div>
        <w:div w:id="1106466343">
          <w:marLeft w:val="720"/>
          <w:marRight w:val="0"/>
          <w:marTop w:val="200"/>
          <w:marBottom w:val="0"/>
          <w:divBdr>
            <w:top w:val="none" w:sz="0" w:space="0" w:color="auto"/>
            <w:left w:val="none" w:sz="0" w:space="0" w:color="auto"/>
            <w:bottom w:val="none" w:sz="0" w:space="0" w:color="auto"/>
            <w:right w:val="none" w:sz="0" w:space="0" w:color="auto"/>
          </w:divBdr>
        </w:div>
      </w:divsChild>
    </w:div>
    <w:div w:id="845293484">
      <w:bodyDiv w:val="1"/>
      <w:marLeft w:val="0"/>
      <w:marRight w:val="0"/>
      <w:marTop w:val="0"/>
      <w:marBottom w:val="0"/>
      <w:divBdr>
        <w:top w:val="none" w:sz="0" w:space="0" w:color="auto"/>
        <w:left w:val="none" w:sz="0" w:space="0" w:color="auto"/>
        <w:bottom w:val="none" w:sz="0" w:space="0" w:color="auto"/>
        <w:right w:val="none" w:sz="0" w:space="0" w:color="auto"/>
      </w:divBdr>
      <w:divsChild>
        <w:div w:id="407314877">
          <w:marLeft w:val="360"/>
          <w:marRight w:val="0"/>
          <w:marTop w:val="0"/>
          <w:marBottom w:val="0"/>
          <w:divBdr>
            <w:top w:val="none" w:sz="0" w:space="0" w:color="auto"/>
            <w:left w:val="none" w:sz="0" w:space="0" w:color="auto"/>
            <w:bottom w:val="none" w:sz="0" w:space="0" w:color="auto"/>
            <w:right w:val="none" w:sz="0" w:space="0" w:color="auto"/>
          </w:divBdr>
        </w:div>
        <w:div w:id="407534253">
          <w:marLeft w:val="360"/>
          <w:marRight w:val="0"/>
          <w:marTop w:val="200"/>
          <w:marBottom w:val="0"/>
          <w:divBdr>
            <w:top w:val="none" w:sz="0" w:space="0" w:color="auto"/>
            <w:left w:val="none" w:sz="0" w:space="0" w:color="auto"/>
            <w:bottom w:val="none" w:sz="0" w:space="0" w:color="auto"/>
            <w:right w:val="none" w:sz="0" w:space="0" w:color="auto"/>
          </w:divBdr>
        </w:div>
        <w:div w:id="602541433">
          <w:marLeft w:val="360"/>
          <w:marRight w:val="0"/>
          <w:marTop w:val="200"/>
          <w:marBottom w:val="0"/>
          <w:divBdr>
            <w:top w:val="none" w:sz="0" w:space="0" w:color="auto"/>
            <w:left w:val="none" w:sz="0" w:space="0" w:color="auto"/>
            <w:bottom w:val="none" w:sz="0" w:space="0" w:color="auto"/>
            <w:right w:val="none" w:sz="0" w:space="0" w:color="auto"/>
          </w:divBdr>
        </w:div>
        <w:div w:id="2069916354">
          <w:marLeft w:val="706"/>
          <w:marRight w:val="0"/>
          <w:marTop w:val="200"/>
          <w:marBottom w:val="0"/>
          <w:divBdr>
            <w:top w:val="none" w:sz="0" w:space="0" w:color="auto"/>
            <w:left w:val="none" w:sz="0" w:space="0" w:color="auto"/>
            <w:bottom w:val="none" w:sz="0" w:space="0" w:color="auto"/>
            <w:right w:val="none" w:sz="0" w:space="0" w:color="auto"/>
          </w:divBdr>
        </w:div>
      </w:divsChild>
    </w:div>
    <w:div w:id="846411271">
      <w:bodyDiv w:val="1"/>
      <w:marLeft w:val="0"/>
      <w:marRight w:val="0"/>
      <w:marTop w:val="0"/>
      <w:marBottom w:val="0"/>
      <w:divBdr>
        <w:top w:val="none" w:sz="0" w:space="0" w:color="auto"/>
        <w:left w:val="none" w:sz="0" w:space="0" w:color="auto"/>
        <w:bottom w:val="none" w:sz="0" w:space="0" w:color="auto"/>
        <w:right w:val="none" w:sz="0" w:space="0" w:color="auto"/>
      </w:divBdr>
    </w:div>
    <w:div w:id="882256336">
      <w:bodyDiv w:val="1"/>
      <w:marLeft w:val="0"/>
      <w:marRight w:val="0"/>
      <w:marTop w:val="0"/>
      <w:marBottom w:val="0"/>
      <w:divBdr>
        <w:top w:val="none" w:sz="0" w:space="0" w:color="auto"/>
        <w:left w:val="none" w:sz="0" w:space="0" w:color="auto"/>
        <w:bottom w:val="none" w:sz="0" w:space="0" w:color="auto"/>
        <w:right w:val="none" w:sz="0" w:space="0" w:color="auto"/>
      </w:divBdr>
      <w:divsChild>
        <w:div w:id="1849369691">
          <w:marLeft w:val="360"/>
          <w:marRight w:val="0"/>
          <w:marTop w:val="0"/>
          <w:marBottom w:val="0"/>
          <w:divBdr>
            <w:top w:val="none" w:sz="0" w:space="0" w:color="auto"/>
            <w:left w:val="none" w:sz="0" w:space="0" w:color="auto"/>
            <w:bottom w:val="none" w:sz="0" w:space="0" w:color="auto"/>
            <w:right w:val="none" w:sz="0" w:space="0" w:color="auto"/>
          </w:divBdr>
        </w:div>
        <w:div w:id="1039236001">
          <w:marLeft w:val="360"/>
          <w:marRight w:val="0"/>
          <w:marTop w:val="200"/>
          <w:marBottom w:val="0"/>
          <w:divBdr>
            <w:top w:val="none" w:sz="0" w:space="0" w:color="auto"/>
            <w:left w:val="none" w:sz="0" w:space="0" w:color="auto"/>
            <w:bottom w:val="none" w:sz="0" w:space="0" w:color="auto"/>
            <w:right w:val="none" w:sz="0" w:space="0" w:color="auto"/>
          </w:divBdr>
        </w:div>
        <w:div w:id="1995062671">
          <w:marLeft w:val="360"/>
          <w:marRight w:val="0"/>
          <w:marTop w:val="200"/>
          <w:marBottom w:val="0"/>
          <w:divBdr>
            <w:top w:val="none" w:sz="0" w:space="0" w:color="auto"/>
            <w:left w:val="none" w:sz="0" w:space="0" w:color="auto"/>
            <w:bottom w:val="none" w:sz="0" w:space="0" w:color="auto"/>
            <w:right w:val="none" w:sz="0" w:space="0" w:color="auto"/>
          </w:divBdr>
        </w:div>
        <w:div w:id="6441794">
          <w:marLeft w:val="360"/>
          <w:marRight w:val="0"/>
          <w:marTop w:val="200"/>
          <w:marBottom w:val="0"/>
          <w:divBdr>
            <w:top w:val="none" w:sz="0" w:space="0" w:color="auto"/>
            <w:left w:val="none" w:sz="0" w:space="0" w:color="auto"/>
            <w:bottom w:val="none" w:sz="0" w:space="0" w:color="auto"/>
            <w:right w:val="none" w:sz="0" w:space="0" w:color="auto"/>
          </w:divBdr>
        </w:div>
      </w:divsChild>
    </w:div>
    <w:div w:id="909581559">
      <w:bodyDiv w:val="1"/>
      <w:marLeft w:val="0"/>
      <w:marRight w:val="0"/>
      <w:marTop w:val="0"/>
      <w:marBottom w:val="0"/>
      <w:divBdr>
        <w:top w:val="none" w:sz="0" w:space="0" w:color="auto"/>
        <w:left w:val="none" w:sz="0" w:space="0" w:color="auto"/>
        <w:bottom w:val="none" w:sz="0" w:space="0" w:color="auto"/>
        <w:right w:val="none" w:sz="0" w:space="0" w:color="auto"/>
      </w:divBdr>
      <w:divsChild>
        <w:div w:id="290983322">
          <w:marLeft w:val="720"/>
          <w:marRight w:val="0"/>
          <w:marTop w:val="200"/>
          <w:marBottom w:val="0"/>
          <w:divBdr>
            <w:top w:val="none" w:sz="0" w:space="0" w:color="auto"/>
            <w:left w:val="none" w:sz="0" w:space="0" w:color="auto"/>
            <w:bottom w:val="none" w:sz="0" w:space="0" w:color="auto"/>
            <w:right w:val="none" w:sz="0" w:space="0" w:color="auto"/>
          </w:divBdr>
        </w:div>
        <w:div w:id="280035983">
          <w:marLeft w:val="720"/>
          <w:marRight w:val="0"/>
          <w:marTop w:val="200"/>
          <w:marBottom w:val="0"/>
          <w:divBdr>
            <w:top w:val="none" w:sz="0" w:space="0" w:color="auto"/>
            <w:left w:val="none" w:sz="0" w:space="0" w:color="auto"/>
            <w:bottom w:val="none" w:sz="0" w:space="0" w:color="auto"/>
            <w:right w:val="none" w:sz="0" w:space="0" w:color="auto"/>
          </w:divBdr>
        </w:div>
        <w:div w:id="992368786">
          <w:marLeft w:val="720"/>
          <w:marRight w:val="0"/>
          <w:marTop w:val="200"/>
          <w:marBottom w:val="0"/>
          <w:divBdr>
            <w:top w:val="none" w:sz="0" w:space="0" w:color="auto"/>
            <w:left w:val="none" w:sz="0" w:space="0" w:color="auto"/>
            <w:bottom w:val="none" w:sz="0" w:space="0" w:color="auto"/>
            <w:right w:val="none" w:sz="0" w:space="0" w:color="auto"/>
          </w:divBdr>
        </w:div>
        <w:div w:id="233703569">
          <w:marLeft w:val="720"/>
          <w:marRight w:val="0"/>
          <w:marTop w:val="200"/>
          <w:marBottom w:val="0"/>
          <w:divBdr>
            <w:top w:val="none" w:sz="0" w:space="0" w:color="auto"/>
            <w:left w:val="none" w:sz="0" w:space="0" w:color="auto"/>
            <w:bottom w:val="none" w:sz="0" w:space="0" w:color="auto"/>
            <w:right w:val="none" w:sz="0" w:space="0" w:color="auto"/>
          </w:divBdr>
        </w:div>
      </w:divsChild>
    </w:div>
    <w:div w:id="963727753">
      <w:bodyDiv w:val="1"/>
      <w:marLeft w:val="0"/>
      <w:marRight w:val="0"/>
      <w:marTop w:val="0"/>
      <w:marBottom w:val="0"/>
      <w:divBdr>
        <w:top w:val="none" w:sz="0" w:space="0" w:color="auto"/>
        <w:left w:val="none" w:sz="0" w:space="0" w:color="auto"/>
        <w:bottom w:val="none" w:sz="0" w:space="0" w:color="auto"/>
        <w:right w:val="none" w:sz="0" w:space="0" w:color="auto"/>
      </w:divBdr>
      <w:divsChild>
        <w:div w:id="1622033563">
          <w:marLeft w:val="360"/>
          <w:marRight w:val="0"/>
          <w:marTop w:val="0"/>
          <w:marBottom w:val="0"/>
          <w:divBdr>
            <w:top w:val="none" w:sz="0" w:space="0" w:color="auto"/>
            <w:left w:val="none" w:sz="0" w:space="0" w:color="auto"/>
            <w:bottom w:val="none" w:sz="0" w:space="0" w:color="auto"/>
            <w:right w:val="none" w:sz="0" w:space="0" w:color="auto"/>
          </w:divBdr>
        </w:div>
        <w:div w:id="873083064">
          <w:marLeft w:val="360"/>
          <w:marRight w:val="0"/>
          <w:marTop w:val="200"/>
          <w:marBottom w:val="0"/>
          <w:divBdr>
            <w:top w:val="none" w:sz="0" w:space="0" w:color="auto"/>
            <w:left w:val="none" w:sz="0" w:space="0" w:color="auto"/>
            <w:bottom w:val="none" w:sz="0" w:space="0" w:color="auto"/>
            <w:right w:val="none" w:sz="0" w:space="0" w:color="auto"/>
          </w:divBdr>
        </w:div>
        <w:div w:id="1402143512">
          <w:marLeft w:val="360"/>
          <w:marRight w:val="0"/>
          <w:marTop w:val="200"/>
          <w:marBottom w:val="0"/>
          <w:divBdr>
            <w:top w:val="none" w:sz="0" w:space="0" w:color="auto"/>
            <w:left w:val="none" w:sz="0" w:space="0" w:color="auto"/>
            <w:bottom w:val="none" w:sz="0" w:space="0" w:color="auto"/>
            <w:right w:val="none" w:sz="0" w:space="0" w:color="auto"/>
          </w:divBdr>
        </w:div>
      </w:divsChild>
    </w:div>
    <w:div w:id="1064337017">
      <w:bodyDiv w:val="1"/>
      <w:marLeft w:val="0"/>
      <w:marRight w:val="0"/>
      <w:marTop w:val="0"/>
      <w:marBottom w:val="0"/>
      <w:divBdr>
        <w:top w:val="none" w:sz="0" w:space="0" w:color="auto"/>
        <w:left w:val="none" w:sz="0" w:space="0" w:color="auto"/>
        <w:bottom w:val="none" w:sz="0" w:space="0" w:color="auto"/>
        <w:right w:val="none" w:sz="0" w:space="0" w:color="auto"/>
      </w:divBdr>
      <w:divsChild>
        <w:div w:id="128017290">
          <w:marLeft w:val="720"/>
          <w:marRight w:val="0"/>
          <w:marTop w:val="200"/>
          <w:marBottom w:val="0"/>
          <w:divBdr>
            <w:top w:val="none" w:sz="0" w:space="0" w:color="auto"/>
            <w:left w:val="none" w:sz="0" w:space="0" w:color="auto"/>
            <w:bottom w:val="none" w:sz="0" w:space="0" w:color="auto"/>
            <w:right w:val="none" w:sz="0" w:space="0" w:color="auto"/>
          </w:divBdr>
        </w:div>
        <w:div w:id="100732547">
          <w:marLeft w:val="720"/>
          <w:marRight w:val="0"/>
          <w:marTop w:val="200"/>
          <w:marBottom w:val="0"/>
          <w:divBdr>
            <w:top w:val="none" w:sz="0" w:space="0" w:color="auto"/>
            <w:left w:val="none" w:sz="0" w:space="0" w:color="auto"/>
            <w:bottom w:val="none" w:sz="0" w:space="0" w:color="auto"/>
            <w:right w:val="none" w:sz="0" w:space="0" w:color="auto"/>
          </w:divBdr>
        </w:div>
      </w:divsChild>
    </w:div>
    <w:div w:id="1208105067">
      <w:bodyDiv w:val="1"/>
      <w:marLeft w:val="0"/>
      <w:marRight w:val="0"/>
      <w:marTop w:val="0"/>
      <w:marBottom w:val="0"/>
      <w:divBdr>
        <w:top w:val="none" w:sz="0" w:space="0" w:color="auto"/>
        <w:left w:val="none" w:sz="0" w:space="0" w:color="auto"/>
        <w:bottom w:val="none" w:sz="0" w:space="0" w:color="auto"/>
        <w:right w:val="none" w:sz="0" w:space="0" w:color="auto"/>
      </w:divBdr>
      <w:divsChild>
        <w:div w:id="840044500">
          <w:marLeft w:val="720"/>
          <w:marRight w:val="0"/>
          <w:marTop w:val="200"/>
          <w:marBottom w:val="0"/>
          <w:divBdr>
            <w:top w:val="none" w:sz="0" w:space="0" w:color="auto"/>
            <w:left w:val="none" w:sz="0" w:space="0" w:color="auto"/>
            <w:bottom w:val="none" w:sz="0" w:space="0" w:color="auto"/>
            <w:right w:val="none" w:sz="0" w:space="0" w:color="auto"/>
          </w:divBdr>
        </w:div>
      </w:divsChild>
    </w:div>
    <w:div w:id="1357804456">
      <w:bodyDiv w:val="1"/>
      <w:marLeft w:val="0"/>
      <w:marRight w:val="0"/>
      <w:marTop w:val="0"/>
      <w:marBottom w:val="0"/>
      <w:divBdr>
        <w:top w:val="none" w:sz="0" w:space="0" w:color="auto"/>
        <w:left w:val="none" w:sz="0" w:space="0" w:color="auto"/>
        <w:bottom w:val="none" w:sz="0" w:space="0" w:color="auto"/>
        <w:right w:val="none" w:sz="0" w:space="0" w:color="auto"/>
      </w:divBdr>
      <w:divsChild>
        <w:div w:id="2086682219">
          <w:marLeft w:val="720"/>
          <w:marRight w:val="0"/>
          <w:marTop w:val="200"/>
          <w:marBottom w:val="0"/>
          <w:divBdr>
            <w:top w:val="none" w:sz="0" w:space="0" w:color="auto"/>
            <w:left w:val="none" w:sz="0" w:space="0" w:color="auto"/>
            <w:bottom w:val="none" w:sz="0" w:space="0" w:color="auto"/>
            <w:right w:val="none" w:sz="0" w:space="0" w:color="auto"/>
          </w:divBdr>
        </w:div>
        <w:div w:id="264650855">
          <w:marLeft w:val="720"/>
          <w:marRight w:val="0"/>
          <w:marTop w:val="200"/>
          <w:marBottom w:val="0"/>
          <w:divBdr>
            <w:top w:val="none" w:sz="0" w:space="0" w:color="auto"/>
            <w:left w:val="none" w:sz="0" w:space="0" w:color="auto"/>
            <w:bottom w:val="none" w:sz="0" w:space="0" w:color="auto"/>
            <w:right w:val="none" w:sz="0" w:space="0" w:color="auto"/>
          </w:divBdr>
        </w:div>
      </w:divsChild>
    </w:div>
    <w:div w:id="1416975107">
      <w:bodyDiv w:val="1"/>
      <w:marLeft w:val="0"/>
      <w:marRight w:val="0"/>
      <w:marTop w:val="0"/>
      <w:marBottom w:val="0"/>
      <w:divBdr>
        <w:top w:val="none" w:sz="0" w:space="0" w:color="auto"/>
        <w:left w:val="none" w:sz="0" w:space="0" w:color="auto"/>
        <w:bottom w:val="none" w:sz="0" w:space="0" w:color="auto"/>
        <w:right w:val="none" w:sz="0" w:space="0" w:color="auto"/>
      </w:divBdr>
    </w:div>
    <w:div w:id="1447114967">
      <w:bodyDiv w:val="1"/>
      <w:marLeft w:val="0"/>
      <w:marRight w:val="0"/>
      <w:marTop w:val="0"/>
      <w:marBottom w:val="0"/>
      <w:divBdr>
        <w:top w:val="none" w:sz="0" w:space="0" w:color="auto"/>
        <w:left w:val="none" w:sz="0" w:space="0" w:color="auto"/>
        <w:bottom w:val="none" w:sz="0" w:space="0" w:color="auto"/>
        <w:right w:val="none" w:sz="0" w:space="0" w:color="auto"/>
      </w:divBdr>
      <w:divsChild>
        <w:div w:id="208416123">
          <w:marLeft w:val="720"/>
          <w:marRight w:val="0"/>
          <w:marTop w:val="200"/>
          <w:marBottom w:val="0"/>
          <w:divBdr>
            <w:top w:val="none" w:sz="0" w:space="0" w:color="auto"/>
            <w:left w:val="none" w:sz="0" w:space="0" w:color="auto"/>
            <w:bottom w:val="none" w:sz="0" w:space="0" w:color="auto"/>
            <w:right w:val="none" w:sz="0" w:space="0" w:color="auto"/>
          </w:divBdr>
        </w:div>
      </w:divsChild>
    </w:div>
    <w:div w:id="1537812656">
      <w:bodyDiv w:val="1"/>
      <w:marLeft w:val="0"/>
      <w:marRight w:val="0"/>
      <w:marTop w:val="0"/>
      <w:marBottom w:val="0"/>
      <w:divBdr>
        <w:top w:val="none" w:sz="0" w:space="0" w:color="auto"/>
        <w:left w:val="none" w:sz="0" w:space="0" w:color="auto"/>
        <w:bottom w:val="none" w:sz="0" w:space="0" w:color="auto"/>
        <w:right w:val="none" w:sz="0" w:space="0" w:color="auto"/>
      </w:divBdr>
    </w:div>
    <w:div w:id="1604918640">
      <w:bodyDiv w:val="1"/>
      <w:marLeft w:val="0"/>
      <w:marRight w:val="0"/>
      <w:marTop w:val="0"/>
      <w:marBottom w:val="0"/>
      <w:divBdr>
        <w:top w:val="none" w:sz="0" w:space="0" w:color="auto"/>
        <w:left w:val="none" w:sz="0" w:space="0" w:color="auto"/>
        <w:bottom w:val="none" w:sz="0" w:space="0" w:color="auto"/>
        <w:right w:val="none" w:sz="0" w:space="0" w:color="auto"/>
      </w:divBdr>
      <w:divsChild>
        <w:div w:id="1868329824">
          <w:marLeft w:val="994"/>
          <w:marRight w:val="0"/>
          <w:marTop w:val="200"/>
          <w:marBottom w:val="0"/>
          <w:divBdr>
            <w:top w:val="none" w:sz="0" w:space="0" w:color="auto"/>
            <w:left w:val="none" w:sz="0" w:space="0" w:color="auto"/>
            <w:bottom w:val="none" w:sz="0" w:space="0" w:color="auto"/>
            <w:right w:val="none" w:sz="0" w:space="0" w:color="auto"/>
          </w:divBdr>
        </w:div>
      </w:divsChild>
    </w:div>
    <w:div w:id="1677271937">
      <w:bodyDiv w:val="1"/>
      <w:marLeft w:val="0"/>
      <w:marRight w:val="0"/>
      <w:marTop w:val="0"/>
      <w:marBottom w:val="0"/>
      <w:divBdr>
        <w:top w:val="none" w:sz="0" w:space="0" w:color="auto"/>
        <w:left w:val="none" w:sz="0" w:space="0" w:color="auto"/>
        <w:bottom w:val="none" w:sz="0" w:space="0" w:color="auto"/>
        <w:right w:val="none" w:sz="0" w:space="0" w:color="auto"/>
      </w:divBdr>
      <w:divsChild>
        <w:div w:id="1319845459">
          <w:marLeft w:val="1066"/>
          <w:marRight w:val="0"/>
          <w:marTop w:val="0"/>
          <w:marBottom w:val="0"/>
          <w:divBdr>
            <w:top w:val="none" w:sz="0" w:space="0" w:color="auto"/>
            <w:left w:val="none" w:sz="0" w:space="0" w:color="auto"/>
            <w:bottom w:val="none" w:sz="0" w:space="0" w:color="auto"/>
            <w:right w:val="none" w:sz="0" w:space="0" w:color="auto"/>
          </w:divBdr>
        </w:div>
        <w:div w:id="304509607">
          <w:marLeft w:val="1066"/>
          <w:marRight w:val="0"/>
          <w:marTop w:val="200"/>
          <w:marBottom w:val="0"/>
          <w:divBdr>
            <w:top w:val="none" w:sz="0" w:space="0" w:color="auto"/>
            <w:left w:val="none" w:sz="0" w:space="0" w:color="auto"/>
            <w:bottom w:val="none" w:sz="0" w:space="0" w:color="auto"/>
            <w:right w:val="none" w:sz="0" w:space="0" w:color="auto"/>
          </w:divBdr>
        </w:div>
        <w:div w:id="1369180593">
          <w:marLeft w:val="360"/>
          <w:marRight w:val="0"/>
          <w:marTop w:val="200"/>
          <w:marBottom w:val="0"/>
          <w:divBdr>
            <w:top w:val="none" w:sz="0" w:space="0" w:color="auto"/>
            <w:left w:val="none" w:sz="0" w:space="0" w:color="auto"/>
            <w:bottom w:val="none" w:sz="0" w:space="0" w:color="auto"/>
            <w:right w:val="none" w:sz="0" w:space="0" w:color="auto"/>
          </w:divBdr>
        </w:div>
      </w:divsChild>
    </w:div>
    <w:div w:id="1779132294">
      <w:bodyDiv w:val="1"/>
      <w:marLeft w:val="0"/>
      <w:marRight w:val="0"/>
      <w:marTop w:val="0"/>
      <w:marBottom w:val="0"/>
      <w:divBdr>
        <w:top w:val="none" w:sz="0" w:space="0" w:color="auto"/>
        <w:left w:val="none" w:sz="0" w:space="0" w:color="auto"/>
        <w:bottom w:val="none" w:sz="0" w:space="0" w:color="auto"/>
        <w:right w:val="none" w:sz="0" w:space="0" w:color="auto"/>
      </w:divBdr>
      <w:divsChild>
        <w:div w:id="2142069099">
          <w:marLeft w:val="720"/>
          <w:marRight w:val="0"/>
          <w:marTop w:val="200"/>
          <w:marBottom w:val="0"/>
          <w:divBdr>
            <w:top w:val="none" w:sz="0" w:space="0" w:color="auto"/>
            <w:left w:val="none" w:sz="0" w:space="0" w:color="auto"/>
            <w:bottom w:val="none" w:sz="0" w:space="0" w:color="auto"/>
            <w:right w:val="none" w:sz="0" w:space="0" w:color="auto"/>
          </w:divBdr>
        </w:div>
      </w:divsChild>
    </w:div>
    <w:div w:id="1792019119">
      <w:bodyDiv w:val="1"/>
      <w:marLeft w:val="0"/>
      <w:marRight w:val="0"/>
      <w:marTop w:val="0"/>
      <w:marBottom w:val="0"/>
      <w:divBdr>
        <w:top w:val="none" w:sz="0" w:space="0" w:color="auto"/>
        <w:left w:val="none" w:sz="0" w:space="0" w:color="auto"/>
        <w:bottom w:val="none" w:sz="0" w:space="0" w:color="auto"/>
        <w:right w:val="none" w:sz="0" w:space="0" w:color="auto"/>
      </w:divBdr>
      <w:divsChild>
        <w:div w:id="970551572">
          <w:marLeft w:val="720"/>
          <w:marRight w:val="0"/>
          <w:marTop w:val="200"/>
          <w:marBottom w:val="0"/>
          <w:divBdr>
            <w:top w:val="none" w:sz="0" w:space="0" w:color="auto"/>
            <w:left w:val="none" w:sz="0" w:space="0" w:color="auto"/>
            <w:bottom w:val="none" w:sz="0" w:space="0" w:color="auto"/>
            <w:right w:val="none" w:sz="0" w:space="0" w:color="auto"/>
          </w:divBdr>
        </w:div>
        <w:div w:id="1447309735">
          <w:marLeft w:val="720"/>
          <w:marRight w:val="0"/>
          <w:marTop w:val="200"/>
          <w:marBottom w:val="0"/>
          <w:divBdr>
            <w:top w:val="none" w:sz="0" w:space="0" w:color="auto"/>
            <w:left w:val="none" w:sz="0" w:space="0" w:color="auto"/>
            <w:bottom w:val="none" w:sz="0" w:space="0" w:color="auto"/>
            <w:right w:val="none" w:sz="0" w:space="0" w:color="auto"/>
          </w:divBdr>
        </w:div>
      </w:divsChild>
    </w:div>
    <w:div w:id="1802991576">
      <w:bodyDiv w:val="1"/>
      <w:marLeft w:val="0"/>
      <w:marRight w:val="0"/>
      <w:marTop w:val="0"/>
      <w:marBottom w:val="0"/>
      <w:divBdr>
        <w:top w:val="none" w:sz="0" w:space="0" w:color="auto"/>
        <w:left w:val="none" w:sz="0" w:space="0" w:color="auto"/>
        <w:bottom w:val="none" w:sz="0" w:space="0" w:color="auto"/>
        <w:right w:val="none" w:sz="0" w:space="0" w:color="auto"/>
      </w:divBdr>
      <w:divsChild>
        <w:div w:id="1350134219">
          <w:marLeft w:val="720"/>
          <w:marRight w:val="0"/>
          <w:marTop w:val="200"/>
          <w:marBottom w:val="0"/>
          <w:divBdr>
            <w:top w:val="none" w:sz="0" w:space="0" w:color="auto"/>
            <w:left w:val="none" w:sz="0" w:space="0" w:color="auto"/>
            <w:bottom w:val="none" w:sz="0" w:space="0" w:color="auto"/>
            <w:right w:val="none" w:sz="0" w:space="0" w:color="auto"/>
          </w:divBdr>
        </w:div>
        <w:div w:id="90904253">
          <w:marLeft w:val="720"/>
          <w:marRight w:val="0"/>
          <w:marTop w:val="200"/>
          <w:marBottom w:val="0"/>
          <w:divBdr>
            <w:top w:val="none" w:sz="0" w:space="0" w:color="auto"/>
            <w:left w:val="none" w:sz="0" w:space="0" w:color="auto"/>
            <w:bottom w:val="none" w:sz="0" w:space="0" w:color="auto"/>
            <w:right w:val="none" w:sz="0" w:space="0" w:color="auto"/>
          </w:divBdr>
        </w:div>
      </w:divsChild>
    </w:div>
    <w:div w:id="1825202818">
      <w:bodyDiv w:val="1"/>
      <w:marLeft w:val="0"/>
      <w:marRight w:val="0"/>
      <w:marTop w:val="0"/>
      <w:marBottom w:val="0"/>
      <w:divBdr>
        <w:top w:val="none" w:sz="0" w:space="0" w:color="auto"/>
        <w:left w:val="none" w:sz="0" w:space="0" w:color="auto"/>
        <w:bottom w:val="none" w:sz="0" w:space="0" w:color="auto"/>
        <w:right w:val="none" w:sz="0" w:space="0" w:color="auto"/>
      </w:divBdr>
      <w:divsChild>
        <w:div w:id="1495222048">
          <w:marLeft w:val="360"/>
          <w:marRight w:val="0"/>
          <w:marTop w:val="0"/>
          <w:marBottom w:val="0"/>
          <w:divBdr>
            <w:top w:val="none" w:sz="0" w:space="0" w:color="auto"/>
            <w:left w:val="none" w:sz="0" w:space="0" w:color="auto"/>
            <w:bottom w:val="none" w:sz="0" w:space="0" w:color="auto"/>
            <w:right w:val="none" w:sz="0" w:space="0" w:color="auto"/>
          </w:divBdr>
        </w:div>
        <w:div w:id="2045665247">
          <w:marLeft w:val="360"/>
          <w:marRight w:val="0"/>
          <w:marTop w:val="200"/>
          <w:marBottom w:val="0"/>
          <w:divBdr>
            <w:top w:val="none" w:sz="0" w:space="0" w:color="auto"/>
            <w:left w:val="none" w:sz="0" w:space="0" w:color="auto"/>
            <w:bottom w:val="none" w:sz="0" w:space="0" w:color="auto"/>
            <w:right w:val="none" w:sz="0" w:space="0" w:color="auto"/>
          </w:divBdr>
        </w:div>
        <w:div w:id="577247100">
          <w:marLeft w:val="360"/>
          <w:marRight w:val="0"/>
          <w:marTop w:val="200"/>
          <w:marBottom w:val="0"/>
          <w:divBdr>
            <w:top w:val="none" w:sz="0" w:space="0" w:color="auto"/>
            <w:left w:val="none" w:sz="0" w:space="0" w:color="auto"/>
            <w:bottom w:val="none" w:sz="0" w:space="0" w:color="auto"/>
            <w:right w:val="none" w:sz="0" w:space="0" w:color="auto"/>
          </w:divBdr>
        </w:div>
        <w:div w:id="1999723310">
          <w:marLeft w:val="360"/>
          <w:marRight w:val="0"/>
          <w:marTop w:val="200"/>
          <w:marBottom w:val="0"/>
          <w:divBdr>
            <w:top w:val="none" w:sz="0" w:space="0" w:color="auto"/>
            <w:left w:val="none" w:sz="0" w:space="0" w:color="auto"/>
            <w:bottom w:val="none" w:sz="0" w:space="0" w:color="auto"/>
            <w:right w:val="none" w:sz="0" w:space="0" w:color="auto"/>
          </w:divBdr>
        </w:div>
        <w:div w:id="973295067">
          <w:marLeft w:val="360"/>
          <w:marRight w:val="0"/>
          <w:marTop w:val="200"/>
          <w:marBottom w:val="0"/>
          <w:divBdr>
            <w:top w:val="none" w:sz="0" w:space="0" w:color="auto"/>
            <w:left w:val="none" w:sz="0" w:space="0" w:color="auto"/>
            <w:bottom w:val="none" w:sz="0" w:space="0" w:color="auto"/>
            <w:right w:val="none" w:sz="0" w:space="0" w:color="auto"/>
          </w:divBdr>
        </w:div>
        <w:div w:id="1743986359">
          <w:marLeft w:val="360"/>
          <w:marRight w:val="0"/>
          <w:marTop w:val="200"/>
          <w:marBottom w:val="0"/>
          <w:divBdr>
            <w:top w:val="none" w:sz="0" w:space="0" w:color="auto"/>
            <w:left w:val="none" w:sz="0" w:space="0" w:color="auto"/>
            <w:bottom w:val="none" w:sz="0" w:space="0" w:color="auto"/>
            <w:right w:val="none" w:sz="0" w:space="0" w:color="auto"/>
          </w:divBdr>
        </w:div>
      </w:divsChild>
    </w:div>
    <w:div w:id="1899319385">
      <w:bodyDiv w:val="1"/>
      <w:marLeft w:val="0"/>
      <w:marRight w:val="0"/>
      <w:marTop w:val="0"/>
      <w:marBottom w:val="0"/>
      <w:divBdr>
        <w:top w:val="none" w:sz="0" w:space="0" w:color="auto"/>
        <w:left w:val="none" w:sz="0" w:space="0" w:color="auto"/>
        <w:bottom w:val="none" w:sz="0" w:space="0" w:color="auto"/>
        <w:right w:val="none" w:sz="0" w:space="0" w:color="auto"/>
      </w:divBdr>
    </w:div>
    <w:div w:id="2079015222">
      <w:bodyDiv w:val="1"/>
      <w:marLeft w:val="0"/>
      <w:marRight w:val="0"/>
      <w:marTop w:val="0"/>
      <w:marBottom w:val="0"/>
      <w:divBdr>
        <w:top w:val="none" w:sz="0" w:space="0" w:color="auto"/>
        <w:left w:val="none" w:sz="0" w:space="0" w:color="auto"/>
        <w:bottom w:val="none" w:sz="0" w:space="0" w:color="auto"/>
        <w:right w:val="none" w:sz="0" w:space="0" w:color="auto"/>
      </w:divBdr>
      <w:divsChild>
        <w:div w:id="1796169213">
          <w:marLeft w:val="706"/>
          <w:marRight w:val="0"/>
          <w:marTop w:val="0"/>
          <w:marBottom w:val="0"/>
          <w:divBdr>
            <w:top w:val="none" w:sz="0" w:space="0" w:color="auto"/>
            <w:left w:val="none" w:sz="0" w:space="0" w:color="auto"/>
            <w:bottom w:val="none" w:sz="0" w:space="0" w:color="auto"/>
            <w:right w:val="none" w:sz="0" w:space="0" w:color="auto"/>
          </w:divBdr>
        </w:div>
        <w:div w:id="1774547286">
          <w:marLeft w:val="360"/>
          <w:marRight w:val="0"/>
          <w:marTop w:val="200"/>
          <w:marBottom w:val="0"/>
          <w:divBdr>
            <w:top w:val="none" w:sz="0" w:space="0" w:color="auto"/>
            <w:left w:val="none" w:sz="0" w:space="0" w:color="auto"/>
            <w:bottom w:val="none" w:sz="0" w:space="0" w:color="auto"/>
            <w:right w:val="none" w:sz="0" w:space="0" w:color="auto"/>
          </w:divBdr>
        </w:div>
        <w:div w:id="112335814">
          <w:marLeft w:val="360"/>
          <w:marRight w:val="0"/>
          <w:marTop w:val="200"/>
          <w:marBottom w:val="0"/>
          <w:divBdr>
            <w:top w:val="none" w:sz="0" w:space="0" w:color="auto"/>
            <w:left w:val="none" w:sz="0" w:space="0" w:color="auto"/>
            <w:bottom w:val="none" w:sz="0" w:space="0" w:color="auto"/>
            <w:right w:val="none" w:sz="0" w:space="0" w:color="auto"/>
          </w:divBdr>
        </w:div>
      </w:divsChild>
    </w:div>
    <w:div w:id="213374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rdinvestiderecho@unisinucartagena.edu.co" TargetMode="External"/><Relationship Id="rId13" Type="http://schemas.openxmlformats.org/officeDocument/2006/relationships/hyperlink" Target="https://www.alcaldiabogota.gov.co"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s.cra.gov.co" TargetMode="External"/><Relationship Id="rId17" Type="http://schemas.openxmlformats.org/officeDocument/2006/relationships/hyperlink" Target="https://doi.org/10.14718/novumjus.2022.16.3.14" TargetMode="External"/><Relationship Id="rId2" Type="http://schemas.openxmlformats.org/officeDocument/2006/relationships/numbering" Target="numbering.xml"/><Relationship Id="rId16" Type="http://schemas.openxmlformats.org/officeDocument/2006/relationships/hyperlink" Target="https://repository.ugc.edu.co/server/api/core/bitstreams/2c686822-e813-4e4e-b08f-e6aca62d949d/content?utm_source=chatgpt.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s.cra.gov.co" TargetMode="External"/><Relationship Id="rId5" Type="http://schemas.openxmlformats.org/officeDocument/2006/relationships/webSettings" Target="webSettings.xml"/><Relationship Id="rId15" Type="http://schemas.openxmlformats.org/officeDocument/2006/relationships/hyperlink" Target="http://hdl.handle.net/10495/20005" TargetMode="External"/><Relationship Id="rId10" Type="http://schemas.openxmlformats.org/officeDocument/2006/relationships/hyperlink" Target="https://normas.cra.gov.c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dl.handle.net/11396/7329" TargetMode="External"/><Relationship Id="rId14" Type="http://schemas.openxmlformats.org/officeDocument/2006/relationships/hyperlink" Target="https://www.corteconstitucional.gov.co/relatoria/2020/c-181-20.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orcid.org/0009-0009-1922-843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EDA46-DF40-4F93-AEA5-E31052CA2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5384</TotalTime>
  <Pages>19</Pages>
  <Words>4860</Words>
  <Characters>26732</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Pérez</dc:creator>
  <cp:keywords/>
  <dc:description/>
  <cp:lastModifiedBy>Martha Benitez Izquierdo</cp:lastModifiedBy>
  <cp:revision>52</cp:revision>
  <dcterms:created xsi:type="dcterms:W3CDTF">2025-08-29T22:07:00Z</dcterms:created>
  <dcterms:modified xsi:type="dcterms:W3CDTF">2026-03-18T17:16:00Z</dcterms:modified>
</cp:coreProperties>
</file>